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01107D76" w:rsidR="000F108B" w:rsidRDefault="001570A2" w:rsidP="00235853">
      <w:r>
        <w:rPr>
          <w:noProof/>
        </w:rPr>
        <w:drawing>
          <wp:anchor distT="0" distB="0" distL="114300" distR="114300" simplePos="0" relativeHeight="251655165" behindDoc="0" locked="0" layoutInCell="1" allowOverlap="1" wp14:anchorId="76DE1B42" wp14:editId="1299B5C5">
            <wp:simplePos x="0" y="0"/>
            <wp:positionH relativeFrom="column">
              <wp:posOffset>-965200</wp:posOffset>
            </wp:positionH>
            <wp:positionV relativeFrom="paragraph">
              <wp:posOffset>-1270000</wp:posOffset>
            </wp:positionV>
            <wp:extent cx="7847854" cy="12444730"/>
            <wp:effectExtent l="0" t="0" r="1270" b="1270"/>
            <wp:wrapNone/>
            <wp:docPr id="16146306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630674" name=""/>
                    <pic:cNvPicPr/>
                  </pic:nvPicPr>
                  <pic:blipFill>
                    <a:blip r:embed="rId7"/>
                    <a:stretch>
                      <a:fillRect/>
                    </a:stretch>
                  </pic:blipFill>
                  <pic:spPr>
                    <a:xfrm>
                      <a:off x="0" y="0"/>
                      <a:ext cx="7848065" cy="12445064"/>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56190" behindDoc="0" locked="0" layoutInCell="1" allowOverlap="1" wp14:anchorId="62F50521" wp14:editId="3650861E">
                <wp:simplePos x="0" y="0"/>
                <wp:positionH relativeFrom="column">
                  <wp:posOffset>-746760</wp:posOffset>
                </wp:positionH>
                <wp:positionV relativeFrom="paragraph">
                  <wp:posOffset>-914400</wp:posOffset>
                </wp:positionV>
                <wp:extent cx="7692391"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1" cy="10741025"/>
                          <a:chOff x="-73137" y="-181864"/>
                          <a:chExt cx="7692630"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6" y="1901952"/>
                            <a:ext cx="7692629" cy="512064"/>
                          </a:xfrm>
                          <a:prstGeom prst="rect">
                            <a:avLst/>
                          </a:prstGeom>
                          <a:noFill/>
                          <a:ln w="6350">
                            <a:noFill/>
                          </a:ln>
                        </wps:spPr>
                        <wps:txbx>
                          <w:txbxContent>
                            <w:p w14:paraId="0923727F" w14:textId="58606707" w:rsidR="001F059D" w:rsidRPr="001C6A9D" w:rsidRDefault="00B81F43" w:rsidP="001C6A9D">
                              <w:pPr>
                                <w:pStyle w:val="Title"/>
                              </w:pPr>
                              <w:r>
                                <w:t>Gatekeepers Under Scrutiny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1FF3E322" w:rsidR="00262BED" w:rsidRPr="00262BED" w:rsidRDefault="00CE4141" w:rsidP="00235853">
                              <w:pPr>
                                <w:pStyle w:val="Subtitle"/>
                              </w:pPr>
                              <w:r>
                                <w:t xml:space="preserve">From Advisers to Enforcers </w:t>
                              </w:r>
                              <w:r w:rsidR="00167B99">
                                <w:t>under Australia’s Tranche 2 AML/CTF Reforms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58.8pt;margin-top:-1in;width:605.7pt;height:845.75pt;z-index:251656190;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9019;width:76925;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58606707" w:rsidR="001F059D" w:rsidRPr="001C6A9D" w:rsidRDefault="00B81F43" w:rsidP="001C6A9D">
                        <w:pPr>
                          <w:pStyle w:val="Title"/>
                        </w:pPr>
                        <w:r>
                          <w:t>Gatekeepers Under Scrutiny</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1FF3E322" w:rsidR="00262BED" w:rsidRPr="00262BED" w:rsidRDefault="00CE4141" w:rsidP="00235853">
                        <w:pPr>
                          <w:pStyle w:val="Subtitle"/>
                        </w:pPr>
                        <w:r>
                          <w:t xml:space="preserve">From Advisers to Enforcers </w:t>
                        </w:r>
                        <w:r w:rsidR="00167B99">
                          <w:t>under Australia’s Tranche 2 AML/CTF Reforms</w:t>
                        </w:r>
                      </w:p>
                    </w:txbxContent>
                  </v:textbox>
                </v:shape>
              </v:group>
            </w:pict>
          </mc:Fallback>
        </mc:AlternateContent>
      </w:r>
      <w:r w:rsidR="00E23ACE">
        <w:rPr>
          <w:noProof/>
        </w:rPr>
        <mc:AlternateContent>
          <mc:Choice Requires="wps">
            <w:drawing>
              <wp:anchor distT="0" distB="0" distL="114300" distR="114300" simplePos="0" relativeHeight="251658247"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12F2EA" id="Text Box 21" o:spid="_x0000_s1032" type="#_x0000_t202" style="position:absolute;margin-left:365.3pt;margin-top:676.95pt;width:161.3pt;height:30.1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58246" behindDoc="0" locked="0" layoutInCell="1" allowOverlap="1" wp14:anchorId="7A1C0EEE" wp14:editId="24B6A350">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78E3BD7A" w:rsidR="000F108B" w:rsidRDefault="000F108B" w:rsidP="009B7307">
                            <w:pPr>
                              <w:pStyle w:val="Subtitle"/>
                            </w:pPr>
                            <w:r w:rsidRPr="00262BED">
                              <w:t xml:space="preserve">By </w:t>
                            </w:r>
                            <w:r w:rsidR="009B7307">
                              <w:t>Kylie Vu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1C0EEE" id="_x0000_s1033" type="#_x0000_t202" style="position:absolute;margin-left:-47.15pt;margin-top:676.75pt;width:161.25pt;height:30.7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78E3BD7A" w:rsidR="000F108B" w:rsidRDefault="000F108B" w:rsidP="009B7307">
                      <w:pPr>
                        <w:pStyle w:val="Subtitle"/>
                      </w:pPr>
                      <w:r w:rsidRPr="00262BED">
                        <w:t xml:space="preserve">By </w:t>
                      </w:r>
                      <w:r w:rsidR="009B7307">
                        <w:t>Kylie Vu</w:t>
                      </w:r>
                    </w:p>
                  </w:txbxContent>
                </v:textbox>
              </v:shape>
            </w:pict>
          </mc:Fallback>
        </mc:AlternateContent>
      </w:r>
      <w:r w:rsidR="007A4BF8">
        <w:rPr>
          <w:noProof/>
        </w:rPr>
        <mc:AlternateContent>
          <mc:Choice Requires="wps">
            <w:drawing>
              <wp:anchor distT="0" distB="0" distL="114300" distR="114300" simplePos="0" relativeHeight="251658242"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3547997C" w14:textId="308E9662" w:rsidR="008A14DD" w:rsidRPr="000A77AE" w:rsidRDefault="001F059D" w:rsidP="000A77AE">
      <w:pPr>
        <w:spacing w:line="480" w:lineRule="auto"/>
        <w:jc w:val="center"/>
        <w:rPr>
          <w:b/>
          <w:bCs/>
          <w:kern w:val="2"/>
          <w:sz w:val="28"/>
          <w:szCs w:val="28"/>
          <w14:ligatures w14:val="standardContextual"/>
        </w:rPr>
      </w:pPr>
      <w:r w:rsidRPr="000A77AE">
        <w:rPr>
          <w:b/>
          <w:bCs/>
          <w:sz w:val="28"/>
          <w:szCs w:val="28"/>
        </w:rPr>
        <w:lastRenderedPageBreak/>
        <w:t xml:space="preserve">I </w:t>
      </w:r>
      <w:r w:rsidR="003A378D" w:rsidRPr="000A77AE">
        <w:rPr>
          <w:b/>
          <w:bCs/>
          <w:kern w:val="2"/>
          <w:sz w:val="28"/>
          <w:szCs w:val="28"/>
          <w14:ligatures w14:val="standardContextual"/>
        </w:rPr>
        <w:t>INTRODUCTION</w:t>
      </w:r>
    </w:p>
    <w:p w14:paraId="16D7F1AE" w14:textId="77777777" w:rsidR="008A14DD" w:rsidRPr="00DF64A2" w:rsidRDefault="008A14DD" w:rsidP="008A14DD">
      <w:pPr>
        <w:spacing w:after="0" w:line="480" w:lineRule="auto"/>
        <w:rPr>
          <w:color w:val="000000"/>
          <w:kern w:val="2"/>
          <w14:ligatures w14:val="standardContextual"/>
        </w:rPr>
      </w:pPr>
      <w:r w:rsidRPr="00DF64A2">
        <w:rPr>
          <w:kern w:val="2"/>
          <w14:ligatures w14:val="standardContextual"/>
        </w:rPr>
        <w:t>Australia is undergoing its most significant anti-money laundering and counter-terrorism financing reform in two decades.</w:t>
      </w:r>
      <w:r w:rsidRPr="00DF64A2">
        <w:rPr>
          <w:kern w:val="2"/>
          <w:vertAlign w:val="superscript"/>
          <w14:ligatures w14:val="standardContextual"/>
        </w:rPr>
        <w:footnoteReference w:id="1"/>
      </w:r>
      <w:r w:rsidRPr="00DF64A2">
        <w:rPr>
          <w:kern w:val="2"/>
          <w14:ligatures w14:val="standardContextual"/>
        </w:rPr>
        <w:t xml:space="preserve"> The enactment of the </w:t>
      </w:r>
      <w:r w:rsidRPr="00DF64A2">
        <w:rPr>
          <w:i/>
          <w:iCs/>
          <w:kern w:val="2"/>
          <w14:ligatures w14:val="standardContextual"/>
        </w:rPr>
        <w:t>Anti-Money Laundering and Counter Terrorism Financing Amendment Act 2024</w:t>
      </w:r>
      <w:r w:rsidRPr="00DF64A2">
        <w:rPr>
          <w:kern w:val="2"/>
          <w14:ligatures w14:val="standardContextual"/>
        </w:rPr>
        <w:t xml:space="preserve"> (Cth) implements the long-anticipated “Tranche 2” reforms, marking a significant expansion of regulatory obligations beyond traditional financial institutions.</w:t>
      </w:r>
      <w:r w:rsidRPr="00DF64A2">
        <w:rPr>
          <w:kern w:val="2"/>
          <w:vertAlign w:val="superscript"/>
          <w14:ligatures w14:val="standardContextual"/>
        </w:rPr>
        <w:footnoteReference w:id="2"/>
      </w:r>
      <w:r w:rsidRPr="00DF64A2">
        <w:rPr>
          <w:kern w:val="2"/>
          <w14:ligatures w14:val="standardContextual"/>
        </w:rPr>
        <w:t xml:space="preserve"> The reforms extended the scope of the </w:t>
      </w:r>
      <w:r w:rsidRPr="00DF64A2">
        <w:rPr>
          <w:i/>
          <w:iCs/>
          <w:kern w:val="2"/>
          <w14:ligatures w14:val="standardContextual"/>
        </w:rPr>
        <w:t>Anti-Money Laundering and Counter Terrorism Financing Act 2006</w:t>
      </w:r>
      <w:r w:rsidRPr="00DF64A2">
        <w:rPr>
          <w:kern w:val="2"/>
          <w14:ligatures w14:val="standardContextual"/>
        </w:rPr>
        <w:t xml:space="preserve"> (Cth) (‘</w:t>
      </w:r>
      <w:r w:rsidRPr="00DF64A2">
        <w:rPr>
          <w:i/>
          <w:iCs/>
          <w:kern w:val="2"/>
          <w14:ligatures w14:val="standardContextual"/>
        </w:rPr>
        <w:t>AML/CTF Act’</w:t>
      </w:r>
      <w:r w:rsidRPr="00DF64A2">
        <w:rPr>
          <w:kern w:val="2"/>
          <w14:ligatures w14:val="standardContextual"/>
        </w:rPr>
        <w:t>) to capture ‘gate-keeper’ professions, recruiting legal, accounting and real estate services as integral participants in the prevention of financial crime.</w:t>
      </w:r>
      <w:r w:rsidRPr="00DF64A2">
        <w:rPr>
          <w:color w:val="000000"/>
          <w:kern w:val="2"/>
          <w:vertAlign w:val="superscript"/>
          <w14:ligatures w14:val="standardContextual"/>
        </w:rPr>
        <w:t xml:space="preserve"> </w:t>
      </w:r>
      <w:r w:rsidRPr="00DF64A2">
        <w:rPr>
          <w:color w:val="000000"/>
          <w:kern w:val="2"/>
          <w:vertAlign w:val="superscript"/>
          <w14:ligatures w14:val="standardContextual"/>
        </w:rPr>
        <w:footnoteReference w:id="3"/>
      </w:r>
    </w:p>
    <w:p w14:paraId="755F6C8F" w14:textId="77777777" w:rsidR="008A14DD" w:rsidRPr="00DF64A2" w:rsidRDefault="008A14DD" w:rsidP="008A14DD">
      <w:pPr>
        <w:spacing w:after="0" w:line="480" w:lineRule="auto"/>
        <w:rPr>
          <w:color w:val="000000"/>
          <w:kern w:val="2"/>
          <w14:ligatures w14:val="standardContextual"/>
        </w:rPr>
      </w:pPr>
    </w:p>
    <w:p w14:paraId="68D4ADAC"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Historically, these professions successfully lobbied for exemptions from the</w:t>
      </w:r>
      <w:r w:rsidRPr="00DF64A2">
        <w:rPr>
          <w:color w:val="000000"/>
          <w:kern w:val="2"/>
          <w14:ligatures w14:val="standardContextual"/>
        </w:rPr>
        <w:t xml:space="preserve"> </w:t>
      </w:r>
      <w:r w:rsidRPr="00DF64A2">
        <w:rPr>
          <w:i/>
          <w:iCs/>
          <w:kern w:val="2"/>
          <w14:ligatures w14:val="standardContextual"/>
        </w:rPr>
        <w:t xml:space="preserve">AML/CTF Act, </w:t>
      </w:r>
      <w:r w:rsidRPr="00DF64A2">
        <w:rPr>
          <w:kern w:val="2"/>
          <w14:ligatures w14:val="standardContextual"/>
        </w:rPr>
        <w:t>citing concerns surrounding legal professional privilege (‘LPP’) and confidentiality.</w:t>
      </w:r>
      <w:r w:rsidRPr="00DF64A2">
        <w:rPr>
          <w:kern w:val="2"/>
          <w:vertAlign w:val="superscript"/>
          <w14:ligatures w14:val="standardContextual"/>
        </w:rPr>
        <w:footnoteReference w:id="4"/>
      </w:r>
      <w:r w:rsidRPr="00DF64A2">
        <w:rPr>
          <w:kern w:val="2"/>
          <w14:ligatures w14:val="standardContextual"/>
        </w:rPr>
        <w:t xml:space="preserve"> This resistance placed Australia among a limited group of jurisdictions, alongside China, Haiti, Madagascar and the United States, that had not adopted the standards of the Financial Action Task Force (‘FATF’).</w:t>
      </w:r>
      <w:r w:rsidRPr="00DF64A2">
        <w:rPr>
          <w:kern w:val="2"/>
          <w:vertAlign w:val="superscript"/>
          <w14:ligatures w14:val="standardContextual"/>
        </w:rPr>
        <w:footnoteReference w:id="5"/>
      </w:r>
      <w:r w:rsidRPr="00DF64A2">
        <w:rPr>
          <w:kern w:val="2"/>
          <w14:ligatures w14:val="standardContextual"/>
        </w:rPr>
        <w:t xml:space="preserve"> FATF is an intergovernmental body that sets international standards and monitors compliance to address money laundering, terrorist financing, and related threats to the global financial system.</w:t>
      </w:r>
      <w:r w:rsidRPr="00DF64A2">
        <w:rPr>
          <w:kern w:val="2"/>
          <w:vertAlign w:val="superscript"/>
          <w14:ligatures w14:val="standardContextual"/>
        </w:rPr>
        <w:footnoteReference w:id="6"/>
      </w:r>
      <w:r w:rsidRPr="00DF64A2">
        <w:rPr>
          <w:kern w:val="2"/>
          <w14:ligatures w14:val="standardContextual"/>
        </w:rPr>
        <w:t xml:space="preserve"> However, increasing global pressure, including the risk of being grey-listed by FATF, coupled with recognition of the role of professionals as enablers in facilitating illicit financial flows, has driven the enactment of the 2024 amendments to address longstanding regulatory deficiencies.</w:t>
      </w:r>
      <w:r w:rsidRPr="00DF64A2">
        <w:rPr>
          <w:kern w:val="2"/>
          <w:vertAlign w:val="superscript"/>
          <w14:ligatures w14:val="standardContextual"/>
        </w:rPr>
        <w:footnoteReference w:id="7"/>
      </w:r>
      <w:r w:rsidRPr="00DF64A2">
        <w:rPr>
          <w:kern w:val="2"/>
          <w14:ligatures w14:val="standardContextual"/>
        </w:rPr>
        <w:t xml:space="preserve"> </w:t>
      </w:r>
    </w:p>
    <w:p w14:paraId="421785C3" w14:textId="77777777" w:rsidR="008A14DD" w:rsidRPr="00DF64A2" w:rsidRDefault="008A14DD" w:rsidP="008A14DD">
      <w:pPr>
        <w:spacing w:after="0" w:line="480" w:lineRule="auto"/>
        <w:rPr>
          <w:kern w:val="2"/>
          <w14:ligatures w14:val="standardContextual"/>
        </w:rPr>
      </w:pPr>
    </w:p>
    <w:p w14:paraId="1B73615C" w14:textId="77777777" w:rsidR="008A14DD" w:rsidRPr="00DF64A2" w:rsidRDefault="008A14DD" w:rsidP="008A14DD">
      <w:pPr>
        <w:spacing w:after="0" w:line="480" w:lineRule="auto"/>
        <w:rPr>
          <w:kern w:val="2"/>
          <w14:ligatures w14:val="standardContextual"/>
        </w:rPr>
      </w:pPr>
    </w:p>
    <w:p w14:paraId="7E5073E1" w14:textId="6BD2D676" w:rsidR="008A14DD" w:rsidRPr="000A77AE" w:rsidRDefault="00E9303C"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II THE JURISDICTIONAL SCOPE: WHO IS CAPTURED?</w:t>
      </w:r>
    </w:p>
    <w:p w14:paraId="07A34AEA" w14:textId="77777777" w:rsidR="00201867" w:rsidRDefault="00201867" w:rsidP="008A14DD">
      <w:pPr>
        <w:spacing w:after="0" w:line="480" w:lineRule="auto"/>
        <w:rPr>
          <w:kern w:val="2"/>
          <w14:ligatures w14:val="standardContextual"/>
        </w:rPr>
      </w:pPr>
    </w:p>
    <w:p w14:paraId="6F7A67B6" w14:textId="47043648" w:rsidR="008A14DD" w:rsidRPr="00DF64A2" w:rsidRDefault="008A14DD" w:rsidP="008A14DD">
      <w:pPr>
        <w:spacing w:after="0" w:line="480" w:lineRule="auto"/>
        <w:rPr>
          <w:kern w:val="2"/>
          <w14:ligatures w14:val="standardContextual"/>
        </w:rPr>
      </w:pPr>
      <w:r w:rsidRPr="00DF64A2">
        <w:rPr>
          <w:kern w:val="2"/>
          <w14:ligatures w14:val="standardContextual"/>
        </w:rPr>
        <w:t>The central mechanism of the Tranche 2 reforms is the concept of “designated services”.</w:t>
      </w:r>
      <w:r w:rsidRPr="00DF64A2">
        <w:rPr>
          <w:kern w:val="2"/>
          <w:vertAlign w:val="superscript"/>
          <w14:ligatures w14:val="standardContextual"/>
        </w:rPr>
        <w:footnoteReference w:id="8"/>
      </w:r>
      <w:r w:rsidRPr="00DF64A2">
        <w:rPr>
          <w:kern w:val="2"/>
          <w14:ligatures w14:val="standardContextual"/>
        </w:rPr>
        <w:t xml:space="preserve"> Rather than subjecting professionals to regulation across all aspects of practice, the obligations are only triggered when providing specific services identified as “high-risk” for money laundering and terrorism financing.</w:t>
      </w:r>
      <w:r w:rsidRPr="00DF64A2">
        <w:rPr>
          <w:kern w:val="2"/>
          <w:vertAlign w:val="superscript"/>
          <w14:ligatures w14:val="standardContextual"/>
        </w:rPr>
        <w:footnoteReference w:id="9"/>
      </w:r>
      <w:r w:rsidRPr="00DF64A2">
        <w:rPr>
          <w:kern w:val="2"/>
          <w14:ligatures w14:val="standardContextual"/>
        </w:rPr>
        <w:t xml:space="preserve"> Pursuant to the newly inserted Table 6 of s 6 of the </w:t>
      </w:r>
      <w:r w:rsidRPr="00DF64A2">
        <w:rPr>
          <w:i/>
          <w:iCs/>
          <w:kern w:val="2"/>
          <w14:ligatures w14:val="standardContextual"/>
        </w:rPr>
        <w:t>AML/CTF</w:t>
      </w:r>
      <w:r w:rsidRPr="00DF64A2">
        <w:rPr>
          <w:kern w:val="2"/>
          <w14:ligatures w14:val="standardContextual"/>
        </w:rPr>
        <w:t xml:space="preserve"> </w:t>
      </w:r>
      <w:r w:rsidRPr="00DF64A2">
        <w:rPr>
          <w:i/>
          <w:iCs/>
          <w:kern w:val="2"/>
          <w14:ligatures w14:val="standardContextual"/>
        </w:rPr>
        <w:t>Act</w:t>
      </w:r>
      <w:r w:rsidRPr="00DF64A2">
        <w:rPr>
          <w:kern w:val="2"/>
          <w14:ligatures w14:val="standardContextual"/>
        </w:rPr>
        <w:t>, the regime is enlivened if a professional assists in real estate transactions, the structuring or restructuring of legal entities, and the management of client funds or assets, thereby targeting areas of vulnerability to illicit financial flows.</w:t>
      </w:r>
      <w:r w:rsidRPr="00DF64A2">
        <w:rPr>
          <w:kern w:val="2"/>
          <w:vertAlign w:val="superscript"/>
          <w14:ligatures w14:val="standardContextual"/>
        </w:rPr>
        <w:footnoteReference w:id="10"/>
      </w:r>
      <w:r w:rsidRPr="00DF64A2">
        <w:rPr>
          <w:kern w:val="2"/>
          <w14:ligatures w14:val="standardContextual"/>
        </w:rPr>
        <w:t xml:space="preserve"> Tranche 2 entities captured have up to 29 June 2026 to enrol with AUSTRAC to avoid penalties.</w:t>
      </w:r>
      <w:r w:rsidRPr="00DF64A2">
        <w:rPr>
          <w:kern w:val="2"/>
          <w:vertAlign w:val="superscript"/>
          <w14:ligatures w14:val="standardContextual"/>
        </w:rPr>
        <w:footnoteReference w:id="11"/>
      </w:r>
    </w:p>
    <w:p w14:paraId="45E99D63" w14:textId="77777777" w:rsidR="008A14DD" w:rsidRPr="00DF64A2" w:rsidRDefault="008A14DD" w:rsidP="008A14DD">
      <w:pPr>
        <w:spacing w:after="0" w:line="480" w:lineRule="auto"/>
        <w:rPr>
          <w:kern w:val="2"/>
          <w14:ligatures w14:val="standardContextual"/>
        </w:rPr>
      </w:pPr>
    </w:p>
    <w:p w14:paraId="13412937" w14:textId="21891EBA" w:rsidR="008A14DD" w:rsidRPr="00DF64A2" w:rsidRDefault="008A14DD" w:rsidP="008A14DD">
      <w:pPr>
        <w:spacing w:after="0" w:line="480" w:lineRule="auto"/>
        <w:rPr>
          <w:kern w:val="2"/>
          <w14:ligatures w14:val="standardContextual"/>
        </w:rPr>
      </w:pPr>
      <w:r w:rsidRPr="00DF64A2">
        <w:rPr>
          <w:kern w:val="2"/>
          <w14:ligatures w14:val="standardContextual"/>
        </w:rPr>
        <w:t>The reforms also recalibrate the identification of “customer” to encompass professional clients, capturing transactions irrespective of consideration to prevent concealment of beneficial ownership.</w:t>
      </w:r>
      <w:r w:rsidRPr="00DF64A2">
        <w:rPr>
          <w:kern w:val="2"/>
          <w:vertAlign w:val="superscript"/>
          <w14:ligatures w14:val="standardContextual"/>
        </w:rPr>
        <w:footnoteReference w:id="12"/>
      </w:r>
      <w:r w:rsidRPr="00DF64A2">
        <w:rPr>
          <w:kern w:val="2"/>
          <w14:ligatures w14:val="standardContextual"/>
        </w:rPr>
        <w:t xml:space="preserve"> This reflects an intentional shift from formalistic distinctions towards a substance‑based approach to risk. Notably, barristers are largely exempt when acting on instructions from solicitors who are already the primary reporting entity. However, this does not apply where barristers accept instructions from other professionals, including accountants.</w:t>
      </w:r>
      <w:r w:rsidRPr="00DF64A2">
        <w:rPr>
          <w:kern w:val="2"/>
          <w:vertAlign w:val="superscript"/>
          <w14:ligatures w14:val="standardContextual"/>
        </w:rPr>
        <w:footnoteReference w:id="13"/>
      </w:r>
    </w:p>
    <w:p w14:paraId="45D6D628" w14:textId="77777777" w:rsidR="008A14DD" w:rsidRPr="00DF64A2" w:rsidRDefault="008A14DD" w:rsidP="008A14DD">
      <w:pPr>
        <w:spacing w:after="0" w:line="480" w:lineRule="auto"/>
        <w:rPr>
          <w:kern w:val="2"/>
          <w14:ligatures w14:val="standardContextual"/>
        </w:rPr>
      </w:pPr>
    </w:p>
    <w:p w14:paraId="5908A82C" w14:textId="1A517D54" w:rsidR="008A14DD" w:rsidRPr="000A77AE" w:rsidRDefault="00035A69"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lastRenderedPageBreak/>
        <w:t>III THE COMPLIANCE PILLAR: AML/CTF PROGRAMS</w:t>
      </w:r>
    </w:p>
    <w:p w14:paraId="523499FC" w14:textId="77777777" w:rsidR="00201867" w:rsidRDefault="00201867" w:rsidP="008A14DD">
      <w:pPr>
        <w:spacing w:after="0" w:line="480" w:lineRule="auto"/>
        <w:rPr>
          <w:kern w:val="2"/>
          <w14:ligatures w14:val="standardContextual"/>
        </w:rPr>
      </w:pPr>
    </w:p>
    <w:p w14:paraId="3C289313" w14:textId="73A669C5" w:rsidR="008A14DD" w:rsidRPr="00DF64A2" w:rsidRDefault="008A14DD" w:rsidP="008A14DD">
      <w:pPr>
        <w:spacing w:after="0" w:line="480" w:lineRule="auto"/>
        <w:rPr>
          <w:kern w:val="2"/>
          <w14:ligatures w14:val="standardContextual"/>
        </w:rPr>
      </w:pPr>
      <w:r w:rsidRPr="00DF64A2">
        <w:rPr>
          <w:kern w:val="2"/>
          <w14:ligatures w14:val="standardContextual"/>
        </w:rPr>
        <w:t>Once a professional provides a designated service, they assume the status of a reporting entity and are required to enrol with the Australian Transaction Reports and Analysis Centre (‘AUSTRAC’) within 28 days.</w:t>
      </w:r>
      <w:r w:rsidRPr="00DF64A2">
        <w:rPr>
          <w:kern w:val="2"/>
          <w:vertAlign w:val="superscript"/>
          <w14:ligatures w14:val="standardContextual"/>
        </w:rPr>
        <w:footnoteReference w:id="14"/>
      </w:r>
      <w:r w:rsidRPr="00DF64A2">
        <w:rPr>
          <w:kern w:val="2"/>
          <w14:ligatures w14:val="standardContextual"/>
        </w:rPr>
        <w:t xml:space="preserve"> A central obligation is the establishment and maintenance of an AML/CTF compliance program.</w:t>
      </w:r>
      <w:r w:rsidRPr="00DF64A2">
        <w:rPr>
          <w:kern w:val="2"/>
          <w:vertAlign w:val="superscript"/>
          <w14:ligatures w14:val="standardContextual"/>
        </w:rPr>
        <w:footnoteReference w:id="15"/>
      </w:r>
      <w:r w:rsidRPr="00DF64A2">
        <w:rPr>
          <w:kern w:val="2"/>
          <w14:ligatures w14:val="standardContextual"/>
        </w:rPr>
        <w:t xml:space="preserve">  Whereas the previous legislative framework distinguished obligations between Part A (risk management) and Part B (customer identification), the 2024 reforms consolidate these into a unified, risk‑based model.</w:t>
      </w:r>
      <w:r w:rsidRPr="00DF64A2">
        <w:rPr>
          <w:kern w:val="2"/>
          <w:vertAlign w:val="superscript"/>
          <w14:ligatures w14:val="standardContextual"/>
        </w:rPr>
        <w:footnoteReference w:id="16"/>
      </w:r>
    </w:p>
    <w:p w14:paraId="7B9F19BD" w14:textId="77777777" w:rsidR="008A14DD" w:rsidRPr="00DF64A2" w:rsidRDefault="008A14DD" w:rsidP="008A14DD">
      <w:pPr>
        <w:spacing w:after="0" w:line="480" w:lineRule="auto"/>
        <w:rPr>
          <w:kern w:val="2"/>
          <w14:ligatures w14:val="standardContextual"/>
        </w:rPr>
      </w:pPr>
    </w:p>
    <w:p w14:paraId="4683090E" w14:textId="7E1476C9" w:rsidR="008A14DD" w:rsidRPr="00DF64A2" w:rsidRDefault="008A14DD" w:rsidP="008A14DD">
      <w:pPr>
        <w:spacing w:after="0" w:line="480" w:lineRule="auto"/>
        <w:rPr>
          <w:kern w:val="2"/>
          <w14:ligatures w14:val="standardContextual"/>
        </w:rPr>
      </w:pPr>
      <w:r w:rsidRPr="00DF64A2">
        <w:rPr>
          <w:kern w:val="2"/>
          <w14:ligatures w14:val="standardContextual"/>
        </w:rPr>
        <w:t>A compliant program must incorporate a comprehensive ML/TF risk assessment tailored to the nature, size and complexity of the reporting entity’s practice.</w:t>
      </w:r>
      <w:r w:rsidRPr="00DF64A2">
        <w:rPr>
          <w:kern w:val="2"/>
          <w:vertAlign w:val="superscript"/>
          <w14:ligatures w14:val="standardContextual"/>
        </w:rPr>
        <w:footnoteReference w:id="17"/>
      </w:r>
      <w:r w:rsidRPr="00DF64A2">
        <w:rPr>
          <w:kern w:val="2"/>
          <w14:ligatures w14:val="standardContextual"/>
        </w:rPr>
        <w:t xml:space="preserve"> Reporting entities are further required to appoint a Compliance Officer who satisfies the prescribed “fit and proper” criteria, possesses sufficient authority and is ordinarily resident in Australia.</w:t>
      </w:r>
      <w:r w:rsidRPr="00DF64A2">
        <w:rPr>
          <w:kern w:val="2"/>
          <w:vertAlign w:val="superscript"/>
          <w14:ligatures w14:val="standardContextual"/>
        </w:rPr>
        <w:footnoteReference w:id="18"/>
      </w:r>
      <w:r w:rsidRPr="00DF64A2">
        <w:rPr>
          <w:kern w:val="2"/>
          <w14:ligatures w14:val="standardContextual"/>
        </w:rPr>
        <w:t xml:space="preserve"> Recognising the compliance burden, especially for smaller practices, AUSTRAC has published guidance materials as a ‘</w:t>
      </w:r>
      <w:bookmarkStart w:id="0" w:name="OLE_LINK1"/>
      <w:r w:rsidRPr="00DF64A2">
        <w:rPr>
          <w:kern w:val="2"/>
          <w14:ligatures w14:val="standardContextual"/>
        </w:rPr>
        <w:t xml:space="preserve">Starter Kit’ </w:t>
      </w:r>
      <w:bookmarkEnd w:id="0"/>
      <w:r w:rsidRPr="00DF64A2">
        <w:rPr>
          <w:kern w:val="2"/>
          <w14:ligatures w14:val="standardContextual"/>
        </w:rPr>
        <w:t>to assist the transition to developing and operationalising compliant AML/CTF frameworks.</w:t>
      </w:r>
      <w:r w:rsidRPr="00DF64A2">
        <w:rPr>
          <w:kern w:val="2"/>
          <w:vertAlign w:val="superscript"/>
          <w14:ligatures w14:val="standardContextual"/>
        </w:rPr>
        <w:footnoteReference w:id="19"/>
      </w:r>
      <w:r w:rsidRPr="00DF64A2">
        <w:rPr>
          <w:kern w:val="2"/>
          <w14:ligatures w14:val="standardContextual"/>
        </w:rPr>
        <w:t xml:space="preserve"> </w:t>
      </w:r>
    </w:p>
    <w:p w14:paraId="2BFF2C50" w14:textId="77777777" w:rsidR="008A14DD" w:rsidRPr="00DF64A2" w:rsidRDefault="008A14DD" w:rsidP="008A14DD">
      <w:pPr>
        <w:spacing w:after="0" w:line="480" w:lineRule="auto"/>
        <w:rPr>
          <w:kern w:val="2"/>
          <w14:ligatures w14:val="standardContextual"/>
        </w:rPr>
      </w:pPr>
    </w:p>
    <w:p w14:paraId="7753C4D0" w14:textId="704FBD1A" w:rsidR="008A14DD" w:rsidRPr="000A77AE" w:rsidRDefault="00980E73" w:rsidP="00980E73">
      <w:pPr>
        <w:spacing w:after="0" w:line="480" w:lineRule="auto"/>
        <w:jc w:val="center"/>
        <w:rPr>
          <w:b/>
          <w:bCs/>
          <w:kern w:val="2"/>
          <w:sz w:val="28"/>
          <w:szCs w:val="28"/>
          <w14:ligatures w14:val="standardContextual"/>
        </w:rPr>
      </w:pPr>
      <w:r w:rsidRPr="000A77AE">
        <w:rPr>
          <w:b/>
          <w:bCs/>
          <w:kern w:val="2"/>
          <w:sz w:val="28"/>
          <w:szCs w:val="28"/>
          <w14:ligatures w14:val="standardContextual"/>
        </w:rPr>
        <w:t>I</w:t>
      </w:r>
      <w:r w:rsidR="000A77AE" w:rsidRPr="000A77AE">
        <w:rPr>
          <w:b/>
          <w:bCs/>
          <w:kern w:val="2"/>
          <w:sz w:val="28"/>
          <w:szCs w:val="28"/>
          <w14:ligatures w14:val="standardContextual"/>
        </w:rPr>
        <w:t>V</w:t>
      </w:r>
      <w:r w:rsidRPr="000A77AE">
        <w:rPr>
          <w:b/>
          <w:bCs/>
          <w:kern w:val="2"/>
          <w:sz w:val="28"/>
          <w:szCs w:val="28"/>
          <w14:ligatures w14:val="standardContextual"/>
        </w:rPr>
        <w:t xml:space="preserve"> CUSTOMER DUE DILIGENCE: RISK, IDENTIFICATION, AND VERIFICATION</w:t>
      </w:r>
    </w:p>
    <w:p w14:paraId="63B251E7" w14:textId="77777777" w:rsidR="008A14DD" w:rsidRPr="00DF64A2" w:rsidRDefault="008A14DD" w:rsidP="008A14DD">
      <w:pPr>
        <w:spacing w:after="0" w:line="480" w:lineRule="auto"/>
        <w:rPr>
          <w:kern w:val="2"/>
          <w14:ligatures w14:val="standardContextual"/>
        </w:rPr>
      </w:pPr>
    </w:p>
    <w:p w14:paraId="4AFCEBCD" w14:textId="77777777" w:rsidR="008A14DD" w:rsidRPr="00DF64A2" w:rsidRDefault="008A14DD" w:rsidP="008A14DD">
      <w:pPr>
        <w:spacing w:after="0" w:line="480" w:lineRule="auto"/>
        <w:rPr>
          <w:kern w:val="2"/>
          <w14:ligatures w14:val="standardContextual"/>
        </w:rPr>
      </w:pPr>
      <w:r w:rsidRPr="00DF64A2">
        <w:rPr>
          <w:kern w:val="2"/>
          <w14:ligatures w14:val="standardContextual"/>
        </w:rPr>
        <w:lastRenderedPageBreak/>
        <w:t xml:space="preserve">For many practitioners, the most immediate impact will arise in heightened client onboarding requirements under ss 28-32 of the </w:t>
      </w:r>
      <w:r w:rsidRPr="00DF64A2">
        <w:rPr>
          <w:i/>
          <w:iCs/>
          <w:kern w:val="2"/>
          <w14:ligatures w14:val="standardContextual"/>
        </w:rPr>
        <w:t>AML/CTF Act</w:t>
      </w:r>
      <w:r w:rsidRPr="00DF64A2">
        <w:rPr>
          <w:kern w:val="2"/>
          <w14:ligatures w14:val="standardContextual"/>
        </w:rPr>
        <w:t>.</w:t>
      </w:r>
      <w:r w:rsidRPr="00DF64A2">
        <w:rPr>
          <w:kern w:val="2"/>
          <w:vertAlign w:val="superscript"/>
          <w14:ligatures w14:val="standardContextual"/>
        </w:rPr>
        <w:footnoteReference w:id="20"/>
      </w:r>
      <w:r w:rsidRPr="00DF64A2">
        <w:rPr>
          <w:kern w:val="2"/>
          <w14:ligatures w14:val="standardContextual"/>
        </w:rPr>
        <w:t xml:space="preserve"> Customer due diligence or ‘Know Your Client’ (‘KYC’) obligations will be elevated to align with international standards, necessitating verification of not only the identity of the client but also the beneficial owners exercising ultimate control over legal entities or arrangements.</w:t>
      </w:r>
      <w:r w:rsidRPr="00DF64A2">
        <w:rPr>
          <w:kern w:val="2"/>
          <w:vertAlign w:val="superscript"/>
          <w14:ligatures w14:val="standardContextual"/>
        </w:rPr>
        <w:footnoteReference w:id="21"/>
      </w:r>
      <w:r w:rsidRPr="00DF64A2">
        <w:rPr>
          <w:kern w:val="2"/>
          <w14:ligatures w14:val="standardContextual"/>
        </w:rPr>
        <w:t xml:space="preserve"> In addition, reporting entities must undertake screening procedures for Politically Exposed Persons (‘PEPs’) and individuals subject to financial sanctions.</w:t>
      </w:r>
      <w:r w:rsidRPr="00DF64A2">
        <w:rPr>
          <w:kern w:val="2"/>
          <w:vertAlign w:val="superscript"/>
          <w14:ligatures w14:val="standardContextual"/>
        </w:rPr>
        <w:footnoteReference w:id="22"/>
      </w:r>
    </w:p>
    <w:p w14:paraId="63EEEBFD" w14:textId="77777777" w:rsidR="008A14DD" w:rsidRPr="00DF64A2" w:rsidRDefault="008A14DD" w:rsidP="008A14DD">
      <w:pPr>
        <w:spacing w:after="0" w:line="480" w:lineRule="auto"/>
        <w:rPr>
          <w:kern w:val="2"/>
          <w14:ligatures w14:val="standardContextual"/>
        </w:rPr>
      </w:pPr>
    </w:p>
    <w:p w14:paraId="5FE044EA"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These obligations extend beyond initial verification. The statutory framework imposes continuing due diligence requirements, obliging continuous monitoring of business relationships for changes in clients’ risk profiles, ownership structure or transactional behaviour that give rise to suspicion.</w:t>
      </w:r>
      <w:r w:rsidRPr="00DF64A2">
        <w:rPr>
          <w:kern w:val="2"/>
          <w:vertAlign w:val="superscript"/>
          <w14:ligatures w14:val="standardContextual"/>
        </w:rPr>
        <w:footnoteReference w:id="23"/>
      </w:r>
      <w:r w:rsidRPr="00DF64A2">
        <w:rPr>
          <w:kern w:val="2"/>
          <w14:ligatures w14:val="standardContextual"/>
        </w:rPr>
        <w:t xml:space="preserve"> Failure to undertake the required due diligence before the provision of a designated service may expose the entity to severe civil penalties.</w:t>
      </w:r>
      <w:r w:rsidRPr="00DF64A2">
        <w:rPr>
          <w:kern w:val="2"/>
          <w:vertAlign w:val="superscript"/>
          <w14:ligatures w14:val="standardContextual"/>
        </w:rPr>
        <w:footnoteReference w:id="24"/>
      </w:r>
      <w:r w:rsidRPr="00DF64A2">
        <w:rPr>
          <w:kern w:val="2"/>
          <w14:ligatures w14:val="standardContextual"/>
        </w:rPr>
        <w:t xml:space="preserve"> In the 2020 case of </w:t>
      </w:r>
      <w:r w:rsidRPr="00DF64A2">
        <w:rPr>
          <w:i/>
          <w:iCs/>
          <w:kern w:val="2"/>
          <w14:ligatures w14:val="standardContextual"/>
        </w:rPr>
        <w:t>AUSTRAC v Westpac</w:t>
      </w:r>
      <w:r w:rsidRPr="00DF64A2">
        <w:rPr>
          <w:kern w:val="2"/>
          <w14:ligatures w14:val="standardContextual"/>
        </w:rPr>
        <w:t xml:space="preserve">, the Federal Court imposed a pecuniary penalty of $1.3 billion for multiple breaches of </w:t>
      </w:r>
      <w:r w:rsidRPr="00DF64A2">
        <w:rPr>
          <w:i/>
          <w:iCs/>
          <w:kern w:val="2"/>
          <w14:ligatures w14:val="standardContextual"/>
        </w:rPr>
        <w:t>AML/CTF</w:t>
      </w:r>
      <w:r w:rsidRPr="00DF64A2">
        <w:rPr>
          <w:kern w:val="2"/>
          <w14:ligatures w14:val="standardContextual"/>
        </w:rPr>
        <w:t xml:space="preserve"> legislation, including failures to report 19.5 million international funds transfer instructions.</w:t>
      </w:r>
      <w:r w:rsidRPr="00DF64A2">
        <w:rPr>
          <w:kern w:val="2"/>
          <w:vertAlign w:val="superscript"/>
          <w14:ligatures w14:val="standardContextual"/>
        </w:rPr>
        <w:footnoteReference w:id="25"/>
      </w:r>
      <w:r w:rsidRPr="00DF64A2">
        <w:rPr>
          <w:kern w:val="2"/>
          <w14:ligatures w14:val="standardContextual"/>
        </w:rPr>
        <w:t xml:space="preserve"> </w:t>
      </w:r>
    </w:p>
    <w:p w14:paraId="312433C4" w14:textId="77777777" w:rsidR="008A14DD" w:rsidRPr="00DF64A2" w:rsidRDefault="008A14DD" w:rsidP="008A14DD">
      <w:pPr>
        <w:spacing w:after="0" w:line="480" w:lineRule="auto"/>
        <w:rPr>
          <w:kern w:val="2"/>
          <w14:ligatures w14:val="standardContextual"/>
        </w:rPr>
      </w:pPr>
    </w:p>
    <w:p w14:paraId="1ACB8DB6" w14:textId="3FEAFB00" w:rsidR="008A14DD" w:rsidRPr="000A77AE" w:rsidRDefault="00980E73"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V SUSPICIOUS MATTER REPORTING AND TIPPING-OFF PROHIBITION</w:t>
      </w:r>
    </w:p>
    <w:p w14:paraId="0E6FD761" w14:textId="77777777" w:rsidR="00201867" w:rsidRDefault="00201867" w:rsidP="008A14DD">
      <w:pPr>
        <w:spacing w:after="0" w:line="480" w:lineRule="auto"/>
        <w:rPr>
          <w:kern w:val="2"/>
          <w14:ligatures w14:val="standardContextual"/>
        </w:rPr>
      </w:pPr>
    </w:p>
    <w:p w14:paraId="0E084E18" w14:textId="365C4FD8" w:rsidR="008A14DD" w:rsidRPr="00DF64A2" w:rsidRDefault="008A14DD" w:rsidP="008A14DD">
      <w:pPr>
        <w:spacing w:after="0" w:line="480" w:lineRule="auto"/>
        <w:rPr>
          <w:kern w:val="2"/>
          <w14:ligatures w14:val="standardContextual"/>
        </w:rPr>
      </w:pPr>
      <w:r w:rsidRPr="00DF64A2">
        <w:rPr>
          <w:kern w:val="2"/>
          <w14:ligatures w14:val="standardContextual"/>
        </w:rPr>
        <w:t xml:space="preserve">Among the contentious features of the reforms is the obligation to file Suspicious Matter Reports (‘SMRs’) under s 41 of the </w:t>
      </w:r>
      <w:r w:rsidRPr="00DF64A2">
        <w:rPr>
          <w:i/>
          <w:iCs/>
          <w:kern w:val="2"/>
          <w14:ligatures w14:val="standardContextual"/>
        </w:rPr>
        <w:t>AML/CTF Act</w:t>
      </w:r>
      <w:r w:rsidRPr="00DF64A2">
        <w:rPr>
          <w:kern w:val="2"/>
          <w14:ligatures w14:val="standardContextual"/>
        </w:rPr>
        <w:t>.</w:t>
      </w:r>
      <w:r w:rsidRPr="00DF64A2">
        <w:rPr>
          <w:kern w:val="2"/>
          <w:vertAlign w:val="superscript"/>
          <w14:ligatures w14:val="standardContextual"/>
        </w:rPr>
        <w:footnoteReference w:id="26"/>
      </w:r>
      <w:r w:rsidRPr="00DF64A2">
        <w:rPr>
          <w:kern w:val="2"/>
          <w14:ligatures w14:val="standardContextual"/>
        </w:rPr>
        <w:t xml:space="preserve">  An SMR must be lodged where a professional forms reasonable grounds to suspect that a client or transaction is linked to criminal activity, proceeds of </w:t>
      </w:r>
      <w:r w:rsidRPr="00DF64A2">
        <w:rPr>
          <w:kern w:val="2"/>
          <w14:ligatures w14:val="standardContextual"/>
        </w:rPr>
        <w:lastRenderedPageBreak/>
        <w:t>crime or tax evasion.</w:t>
      </w:r>
      <w:r w:rsidRPr="00DF64A2">
        <w:rPr>
          <w:kern w:val="2"/>
          <w:vertAlign w:val="superscript"/>
          <w14:ligatures w14:val="standardContextual"/>
        </w:rPr>
        <w:footnoteReference w:id="27"/>
      </w:r>
      <w:r w:rsidRPr="00DF64A2">
        <w:rPr>
          <w:kern w:val="2"/>
          <w14:ligatures w14:val="standardContextual"/>
        </w:rPr>
        <w:t xml:space="preserve"> This threshold is objective, requiring an assessment of whether a reasonable person apprised of the available facts and circumstances would form such a suspicion.</w:t>
      </w:r>
      <w:r w:rsidRPr="00DF64A2">
        <w:rPr>
          <w:kern w:val="2"/>
          <w:vertAlign w:val="superscript"/>
          <w14:ligatures w14:val="standardContextual"/>
        </w:rPr>
        <w:footnoteReference w:id="28"/>
      </w:r>
      <w:r w:rsidRPr="00DF64A2">
        <w:rPr>
          <w:kern w:val="2"/>
          <w14:ligatures w14:val="standardContextual"/>
        </w:rPr>
        <w:t xml:space="preserve"> </w:t>
      </w:r>
    </w:p>
    <w:p w14:paraId="6FA8B36D" w14:textId="77777777" w:rsidR="008A14DD" w:rsidRPr="00DF64A2" w:rsidRDefault="008A14DD" w:rsidP="008A14DD">
      <w:pPr>
        <w:spacing w:after="0" w:line="480" w:lineRule="auto"/>
        <w:rPr>
          <w:kern w:val="2"/>
          <w14:ligatures w14:val="standardContextual"/>
        </w:rPr>
      </w:pPr>
    </w:p>
    <w:p w14:paraId="118BF2FD" w14:textId="1E83B05E" w:rsidR="008A14DD" w:rsidRPr="00DF64A2" w:rsidRDefault="008A14DD" w:rsidP="008A14DD">
      <w:pPr>
        <w:spacing w:after="0" w:line="480" w:lineRule="auto"/>
        <w:rPr>
          <w:kern w:val="2"/>
          <w14:ligatures w14:val="standardContextual"/>
        </w:rPr>
      </w:pPr>
      <w:r w:rsidRPr="00DF64A2">
        <w:rPr>
          <w:kern w:val="2"/>
          <w14:ligatures w14:val="standardContextual"/>
        </w:rPr>
        <w:t>The obligation is reinforced by stringent ‘tipping-off’ prohibitions under s 123, which generally preclude disclosure that an SMR has been made or revealing any information that could reasonably enable a client to infer that a report has been made to AUSTRAC.</w:t>
      </w:r>
      <w:r w:rsidRPr="00DF64A2">
        <w:rPr>
          <w:kern w:val="2"/>
          <w:vertAlign w:val="superscript"/>
          <w14:ligatures w14:val="standardContextual"/>
        </w:rPr>
        <w:footnoteReference w:id="29"/>
      </w:r>
      <w:r w:rsidRPr="00DF64A2">
        <w:rPr>
          <w:kern w:val="2"/>
          <w14:ligatures w14:val="standardContextual"/>
        </w:rPr>
        <w:t xml:space="preserve"> These give rise to a pronounced ethical tension. A lawyer’s fiduciary obligation of loyalty and confidentiality owed to the client may conflict directly with the statutory obligation to maintain secrecy of communications to AUSTRAC.</w:t>
      </w:r>
      <w:r w:rsidRPr="00DF64A2">
        <w:rPr>
          <w:kern w:val="2"/>
          <w:vertAlign w:val="superscript"/>
          <w14:ligatures w14:val="standardContextual"/>
        </w:rPr>
        <w:footnoteReference w:id="30"/>
      </w:r>
      <w:r w:rsidRPr="00DF64A2">
        <w:rPr>
          <w:kern w:val="2"/>
          <w14:ligatures w14:val="standardContextual"/>
        </w:rPr>
        <w:t xml:space="preserve"> Although limited exceptions exist, including for dissuading a client from committing a crime or for obtaining independent legal advice, the prohibition nevertheless poses significant constraints on professional relationships.</w:t>
      </w:r>
      <w:r w:rsidRPr="00DF64A2">
        <w:rPr>
          <w:kern w:val="2"/>
          <w:vertAlign w:val="superscript"/>
          <w14:ligatures w14:val="standardContextual"/>
        </w:rPr>
        <w:footnoteReference w:id="31"/>
      </w:r>
    </w:p>
    <w:p w14:paraId="40F58537" w14:textId="77777777" w:rsidR="008A14DD" w:rsidRPr="00DF64A2" w:rsidRDefault="008A14DD" w:rsidP="008A14DD">
      <w:pPr>
        <w:spacing w:after="0" w:line="480" w:lineRule="auto"/>
        <w:rPr>
          <w:kern w:val="2"/>
          <w14:ligatures w14:val="standardContextual"/>
        </w:rPr>
      </w:pPr>
    </w:p>
    <w:p w14:paraId="0F72F1C7" w14:textId="7B38B7BB" w:rsidR="008A14DD" w:rsidRPr="000A77AE" w:rsidRDefault="00201867"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VI LEGAL PROFESSIONAL PRIVILEGE</w:t>
      </w:r>
    </w:p>
    <w:p w14:paraId="35130966" w14:textId="77777777" w:rsidR="00201867" w:rsidRPr="00201867" w:rsidRDefault="00201867" w:rsidP="00201867">
      <w:pPr>
        <w:spacing w:after="0" w:line="480" w:lineRule="auto"/>
        <w:jc w:val="center"/>
        <w:rPr>
          <w:kern w:val="2"/>
          <w14:ligatures w14:val="standardContextual"/>
        </w:rPr>
      </w:pPr>
    </w:p>
    <w:p w14:paraId="47B222A7"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The extension of the regime has raised sustained concern regarding the preservation of legal professional privilege (‘LPP’).</w:t>
      </w:r>
      <w:r w:rsidRPr="00DF64A2">
        <w:rPr>
          <w:kern w:val="2"/>
          <w:vertAlign w:val="superscript"/>
          <w14:ligatures w14:val="standardContextual"/>
        </w:rPr>
        <w:footnoteReference w:id="32"/>
      </w:r>
      <w:r w:rsidRPr="00DF64A2">
        <w:rPr>
          <w:kern w:val="2"/>
          <w14:ligatures w14:val="standardContextual"/>
        </w:rPr>
        <w:t xml:space="preserve"> As a fundamental common law protection, LPP facilitates the administration of justice by promoting full and frank communication between client and lawyer.</w:t>
      </w:r>
      <w:r w:rsidRPr="00DF64A2">
        <w:rPr>
          <w:kern w:val="2"/>
          <w:vertAlign w:val="superscript"/>
          <w14:ligatures w14:val="standardContextual"/>
        </w:rPr>
        <w:footnoteReference w:id="33"/>
      </w:r>
      <w:r w:rsidRPr="00DF64A2">
        <w:rPr>
          <w:kern w:val="2"/>
          <w14:ligatures w14:val="standardContextual"/>
        </w:rPr>
        <w:t xml:space="preserve"> The 2024 amendments have expressly provided that the Act does not abrogate LPP under s 242.</w:t>
      </w:r>
      <w:r w:rsidRPr="00DF64A2">
        <w:rPr>
          <w:kern w:val="2"/>
          <w:vertAlign w:val="superscript"/>
          <w14:ligatures w14:val="standardContextual"/>
        </w:rPr>
        <w:footnoteReference w:id="34"/>
      </w:r>
    </w:p>
    <w:p w14:paraId="17E845D3" w14:textId="77777777" w:rsidR="008A14DD" w:rsidRPr="00DF64A2" w:rsidRDefault="008A14DD" w:rsidP="008A14DD">
      <w:pPr>
        <w:spacing w:after="0" w:line="480" w:lineRule="auto"/>
        <w:rPr>
          <w:kern w:val="2"/>
          <w14:ligatures w14:val="standardContextual"/>
        </w:rPr>
      </w:pPr>
    </w:p>
    <w:p w14:paraId="4AE2EC6F" w14:textId="20D751AC" w:rsidR="008A14DD" w:rsidRPr="00DF64A2" w:rsidRDefault="008A14DD" w:rsidP="008A14DD">
      <w:pPr>
        <w:spacing w:after="0" w:line="480" w:lineRule="auto"/>
        <w:rPr>
          <w:kern w:val="2"/>
          <w14:ligatures w14:val="standardContextual"/>
        </w:rPr>
      </w:pPr>
      <w:r w:rsidRPr="00DF64A2">
        <w:rPr>
          <w:kern w:val="2"/>
          <w14:ligatures w14:val="standardContextual"/>
        </w:rPr>
        <w:lastRenderedPageBreak/>
        <w:t>Notwithstanding this preservation, the administration of LPP has become considerably more complex.</w:t>
      </w:r>
      <w:r w:rsidRPr="00DF64A2">
        <w:rPr>
          <w:kern w:val="2"/>
          <w:vertAlign w:val="superscript"/>
          <w14:ligatures w14:val="standardContextual"/>
        </w:rPr>
        <w:footnoteReference w:id="35"/>
      </w:r>
      <w:r w:rsidRPr="00DF64A2">
        <w:rPr>
          <w:kern w:val="2"/>
          <w14:ligatures w14:val="standardContextual"/>
        </w:rPr>
        <w:t xml:space="preserve"> Under the reforms, where a legal practitioner believes information triggering an SMR is wholly privileged, no report is required.</w:t>
      </w:r>
      <w:r w:rsidRPr="00DF64A2">
        <w:rPr>
          <w:kern w:val="2"/>
          <w:vertAlign w:val="superscript"/>
          <w14:ligatures w14:val="standardContextual"/>
        </w:rPr>
        <w:footnoteReference w:id="36"/>
      </w:r>
      <w:r w:rsidRPr="00DF64A2">
        <w:rPr>
          <w:kern w:val="2"/>
          <w14:ligatures w14:val="standardContextual"/>
        </w:rPr>
        <w:t xml:space="preserve"> To regulate such claims, the amendments introduced a formalised ‘LPP Form’ which must be completed in response to an AUSTRAC notice or specifies the basis of the claim.</w:t>
      </w:r>
      <w:r w:rsidRPr="00DF64A2">
        <w:rPr>
          <w:kern w:val="2"/>
          <w:vertAlign w:val="superscript"/>
          <w14:ligatures w14:val="standardContextual"/>
        </w:rPr>
        <w:footnoteReference w:id="37"/>
      </w:r>
      <w:r w:rsidRPr="00DF64A2">
        <w:rPr>
          <w:kern w:val="2"/>
          <w14:ligatures w14:val="standardContextual"/>
        </w:rPr>
        <w:t xml:space="preserve"> The limits of LPP remain critical, particularly the communications made for the purpose of facilitating fraud, dishonesty or other unlawful conduct.</w:t>
      </w:r>
      <w:r w:rsidRPr="00DF64A2">
        <w:rPr>
          <w:kern w:val="2"/>
          <w:vertAlign w:val="superscript"/>
          <w14:ligatures w14:val="standardContextual"/>
        </w:rPr>
        <w:footnoteReference w:id="38"/>
      </w:r>
      <w:r w:rsidRPr="00DF64A2">
        <w:rPr>
          <w:kern w:val="2"/>
          <w14:ligatures w14:val="standardContextual"/>
        </w:rPr>
        <w:t xml:space="preserve"> Accordingly, under s 125 of the </w:t>
      </w:r>
      <w:r w:rsidRPr="00DF64A2">
        <w:rPr>
          <w:i/>
          <w:iCs/>
          <w:kern w:val="2"/>
          <w14:ligatures w14:val="standardContextual"/>
        </w:rPr>
        <w:t>Evidence Act 1995</w:t>
      </w:r>
      <w:r w:rsidRPr="00DF64A2">
        <w:rPr>
          <w:kern w:val="2"/>
          <w14:ligatures w14:val="standardContextual"/>
        </w:rPr>
        <w:t xml:space="preserve"> (NSW), where there is prima facie evidence of such an improper purpose, the privilege is displaced, and the information becomes liable to disclosure.</w:t>
      </w:r>
    </w:p>
    <w:p w14:paraId="7E953EC1" w14:textId="77777777" w:rsidR="008A14DD" w:rsidRPr="00DF64A2" w:rsidRDefault="008A14DD" w:rsidP="008A14DD">
      <w:pPr>
        <w:spacing w:after="0" w:line="480" w:lineRule="auto"/>
        <w:rPr>
          <w:kern w:val="2"/>
          <w14:ligatures w14:val="standardContextual"/>
        </w:rPr>
      </w:pPr>
    </w:p>
    <w:p w14:paraId="5FE89B6A" w14:textId="77777777" w:rsidR="00201867" w:rsidRDefault="00201867" w:rsidP="008A14DD">
      <w:pPr>
        <w:spacing w:after="0" w:line="480" w:lineRule="auto"/>
        <w:rPr>
          <w:b/>
          <w:bCs/>
          <w:kern w:val="2"/>
          <w14:ligatures w14:val="standardContextual"/>
        </w:rPr>
      </w:pPr>
    </w:p>
    <w:p w14:paraId="3E95698D" w14:textId="65D9631F" w:rsidR="008A14DD" w:rsidRPr="000A77AE" w:rsidRDefault="00201867"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VII DIRECTOR LIABILITY AND THE ‘STEPPING STONES’ APPROACH</w:t>
      </w:r>
    </w:p>
    <w:p w14:paraId="04FF0E3C" w14:textId="77777777" w:rsidR="008A14DD" w:rsidRPr="00DF64A2" w:rsidRDefault="008A14DD" w:rsidP="008A14DD">
      <w:pPr>
        <w:spacing w:after="0" w:line="480" w:lineRule="auto"/>
        <w:rPr>
          <w:b/>
          <w:bCs/>
          <w:kern w:val="2"/>
          <w14:ligatures w14:val="standardContextual"/>
        </w:rPr>
      </w:pPr>
    </w:p>
    <w:p w14:paraId="47D1B644"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 xml:space="preserve">While the </w:t>
      </w:r>
      <w:r w:rsidRPr="00DF64A2">
        <w:rPr>
          <w:i/>
          <w:iCs/>
          <w:kern w:val="2"/>
          <w14:ligatures w14:val="standardContextual"/>
        </w:rPr>
        <w:t>AML/CTF Act</w:t>
      </w:r>
      <w:r w:rsidRPr="00DF64A2">
        <w:rPr>
          <w:kern w:val="2"/>
          <w14:ligatures w14:val="standardContextual"/>
        </w:rPr>
        <w:t xml:space="preserve"> does not expressly impose personal liability on directors or senior management for corporate contraventions, regulators have increasingly relied on an ‘stepping stone’ approach to establish accountability.</w:t>
      </w:r>
      <w:r w:rsidRPr="00DF64A2">
        <w:rPr>
          <w:kern w:val="2"/>
          <w:vertAlign w:val="superscript"/>
          <w14:ligatures w14:val="standardContextual"/>
        </w:rPr>
        <w:footnoteReference w:id="39"/>
      </w:r>
      <w:r w:rsidRPr="00DF64A2">
        <w:rPr>
          <w:kern w:val="2"/>
          <w14:ligatures w14:val="standardContextual"/>
        </w:rPr>
        <w:t xml:space="preserve"> Pursuant to s 180 of the </w:t>
      </w:r>
      <w:r w:rsidRPr="00DF64A2">
        <w:rPr>
          <w:i/>
          <w:iCs/>
          <w:kern w:val="2"/>
          <w14:ligatures w14:val="standardContextual"/>
        </w:rPr>
        <w:t>Corporations Act 2001</w:t>
      </w:r>
      <w:r w:rsidRPr="00DF64A2">
        <w:rPr>
          <w:kern w:val="2"/>
          <w14:ligatures w14:val="standardContextual"/>
        </w:rPr>
        <w:t xml:space="preserve"> (Cth), directors are required to exercise their powers with reasonable care and due diligence.</w:t>
      </w:r>
      <w:r w:rsidRPr="00DF64A2">
        <w:rPr>
          <w:kern w:val="2"/>
          <w:vertAlign w:val="superscript"/>
          <w14:ligatures w14:val="standardContextual"/>
        </w:rPr>
        <w:footnoteReference w:id="40"/>
      </w:r>
      <w:r w:rsidRPr="00DF64A2">
        <w:rPr>
          <w:kern w:val="2"/>
          <w14:ligatures w14:val="standardContextual"/>
        </w:rPr>
        <w:t xml:space="preserve"> The Australian Securities and Investment Commission (‘ASIC’) has deployed this provision to contend that directors who expose their corporation to systematic breaches of AML/CTF obligations may constitute a breach of directors’ duties, effectively linking corporate non-compliance to personal liability.</w:t>
      </w:r>
      <w:r w:rsidRPr="00DF64A2">
        <w:rPr>
          <w:kern w:val="2"/>
          <w:vertAlign w:val="superscript"/>
          <w14:ligatures w14:val="standardContextual"/>
        </w:rPr>
        <w:footnoteReference w:id="41"/>
      </w:r>
    </w:p>
    <w:p w14:paraId="534A1775" w14:textId="77777777" w:rsidR="008A14DD" w:rsidRPr="00DF64A2" w:rsidRDefault="008A14DD" w:rsidP="008A14DD">
      <w:pPr>
        <w:spacing w:after="0" w:line="480" w:lineRule="auto"/>
        <w:rPr>
          <w:kern w:val="2"/>
          <w14:ligatures w14:val="standardContextual"/>
        </w:rPr>
      </w:pPr>
    </w:p>
    <w:p w14:paraId="5C72CBA7"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Recent enforcement actions, including those involving the Star Entertainment Group, demonstrate that the increasing intolerance of passive approaches to compliance is no longer tenable.</w:t>
      </w:r>
      <w:r w:rsidRPr="00DF64A2">
        <w:rPr>
          <w:kern w:val="2"/>
          <w:vertAlign w:val="superscript"/>
          <w14:ligatures w14:val="standardContextual"/>
        </w:rPr>
        <w:footnoteReference w:id="42"/>
      </w:r>
      <w:r w:rsidRPr="00DF64A2">
        <w:rPr>
          <w:kern w:val="2"/>
          <w14:ligatures w14:val="standardContextual"/>
        </w:rPr>
        <w:t xml:space="preserve"> In this case, the Federal Court found the senior executives of the company to have breached their duties under s 180 by failing to adequately manage and escalate money laundering risks associated with high‑risk junket operations and internal compliance deficiencies.</w:t>
      </w:r>
      <w:r w:rsidRPr="00DF64A2">
        <w:rPr>
          <w:kern w:val="2"/>
          <w:vertAlign w:val="superscript"/>
          <w14:ligatures w14:val="standardContextual"/>
        </w:rPr>
        <w:footnoteReference w:id="43"/>
      </w:r>
      <w:r w:rsidRPr="00DF64A2">
        <w:rPr>
          <w:kern w:val="2"/>
          <w14:ligatures w14:val="standardContextual"/>
        </w:rPr>
        <w:t xml:space="preserve"> Whilst non-executive directors were not found liable, the case confirms the possibility of management incurring personal liability where oversight deficiencies expose the company to systemic AML/CTF breaches.</w:t>
      </w:r>
      <w:r w:rsidRPr="00DF64A2">
        <w:rPr>
          <w:kern w:val="2"/>
          <w:vertAlign w:val="superscript"/>
          <w14:ligatures w14:val="standardContextual"/>
        </w:rPr>
        <w:footnoteReference w:id="44"/>
      </w:r>
      <w:r w:rsidRPr="00DF64A2">
        <w:rPr>
          <w:kern w:val="2"/>
          <w14:ligatures w14:val="standardContextual"/>
        </w:rPr>
        <w:t xml:space="preserve"> The matter now proceeds to the penalty phase, with disqualification and pecuniary sanctions under consideration.</w:t>
      </w:r>
      <w:r w:rsidRPr="00DF64A2">
        <w:rPr>
          <w:kern w:val="2"/>
          <w:vertAlign w:val="superscript"/>
          <w14:ligatures w14:val="standardContextual"/>
        </w:rPr>
        <w:footnoteReference w:id="45"/>
      </w:r>
      <w:r w:rsidRPr="00DF64A2">
        <w:rPr>
          <w:kern w:val="2"/>
          <w14:ligatures w14:val="standardContextual"/>
        </w:rPr>
        <w:t xml:space="preserve"> </w:t>
      </w:r>
    </w:p>
    <w:p w14:paraId="3AFBB1F1" w14:textId="77777777" w:rsidR="008A14DD" w:rsidRPr="00DF64A2" w:rsidRDefault="008A14DD" w:rsidP="008A14DD">
      <w:pPr>
        <w:spacing w:after="0" w:line="480" w:lineRule="auto"/>
        <w:rPr>
          <w:kern w:val="2"/>
          <w14:ligatures w14:val="standardContextual"/>
        </w:rPr>
      </w:pPr>
    </w:p>
    <w:p w14:paraId="6DCF850B" w14:textId="1F369E6E" w:rsidR="008A14DD" w:rsidRPr="00DF64A2" w:rsidRDefault="008A14DD" w:rsidP="008A14DD">
      <w:pPr>
        <w:spacing w:after="0" w:line="480" w:lineRule="auto"/>
        <w:rPr>
          <w:kern w:val="2"/>
          <w14:ligatures w14:val="standardContextual"/>
        </w:rPr>
      </w:pPr>
      <w:r w:rsidRPr="00DF64A2">
        <w:rPr>
          <w:kern w:val="2"/>
          <w14:ligatures w14:val="standardContextual"/>
        </w:rPr>
        <w:t>Boards and senior management are now expected to exercise active oversight, ensuring that frameworks are properly resourced, continuously reviewed, and responsive to emerging risks.</w:t>
      </w:r>
      <w:r w:rsidRPr="00DF64A2">
        <w:rPr>
          <w:kern w:val="2"/>
          <w:vertAlign w:val="superscript"/>
          <w14:ligatures w14:val="standardContextual"/>
        </w:rPr>
        <w:footnoteReference w:id="46"/>
      </w:r>
      <w:r w:rsidRPr="00DF64A2">
        <w:rPr>
          <w:kern w:val="2"/>
          <w14:ligatures w14:val="standardContextual"/>
        </w:rPr>
        <w:t xml:space="preserve"> This reflects a broader shift towards embedding compliance within corporate governance rather than treating it as a discrete operational function.</w:t>
      </w:r>
      <w:r w:rsidRPr="00DF64A2">
        <w:rPr>
          <w:kern w:val="2"/>
          <w:vertAlign w:val="superscript"/>
          <w14:ligatures w14:val="standardContextual"/>
        </w:rPr>
        <w:footnoteReference w:id="47"/>
      </w:r>
      <w:r w:rsidRPr="00DF64A2">
        <w:rPr>
          <w:kern w:val="2"/>
          <w14:ligatures w14:val="standardContextual"/>
        </w:rPr>
        <w:t xml:space="preserve"> These developments underscore the growing importance of fostering an institutional risk-culture in which AML/CTF compliance is assumed as a core operational role rather than a delegable administrative responsibility.</w:t>
      </w:r>
      <w:r w:rsidRPr="00DF64A2">
        <w:rPr>
          <w:kern w:val="2"/>
          <w:vertAlign w:val="superscript"/>
          <w14:ligatures w14:val="standardContextual"/>
        </w:rPr>
        <w:footnoteReference w:id="48"/>
      </w:r>
      <w:r w:rsidRPr="00DF64A2">
        <w:rPr>
          <w:kern w:val="2"/>
          <w14:ligatures w14:val="standardContextual"/>
        </w:rPr>
        <w:t xml:space="preserve"> </w:t>
      </w:r>
    </w:p>
    <w:p w14:paraId="4D2FFB05" w14:textId="77777777" w:rsidR="008A14DD" w:rsidRPr="00DF64A2" w:rsidRDefault="008A14DD" w:rsidP="008A14DD">
      <w:pPr>
        <w:spacing w:after="0" w:line="480" w:lineRule="auto"/>
        <w:rPr>
          <w:kern w:val="2"/>
          <w14:ligatures w14:val="standardContextual"/>
        </w:rPr>
      </w:pPr>
    </w:p>
    <w:p w14:paraId="44BDCA9B" w14:textId="033EF893" w:rsidR="008A14DD" w:rsidRPr="000A77AE" w:rsidRDefault="00201867"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VIII IMPLEMENTATION CHALLENGES: COMPARATIVE LESSONS FROM ABROAD</w:t>
      </w:r>
    </w:p>
    <w:p w14:paraId="40126357" w14:textId="77777777" w:rsidR="008A14DD" w:rsidRPr="00DF64A2" w:rsidRDefault="008A14DD" w:rsidP="008A14DD">
      <w:pPr>
        <w:spacing w:after="0" w:line="480" w:lineRule="auto"/>
        <w:rPr>
          <w:b/>
          <w:bCs/>
          <w:kern w:val="2"/>
          <w14:ligatures w14:val="standardContextual"/>
        </w:rPr>
      </w:pPr>
    </w:p>
    <w:p w14:paraId="1C79E1F1" w14:textId="77777777" w:rsidR="008A14DD" w:rsidRPr="00DF64A2" w:rsidRDefault="008A14DD" w:rsidP="008A14DD">
      <w:pPr>
        <w:spacing w:after="0" w:line="480" w:lineRule="auto"/>
        <w:rPr>
          <w:kern w:val="2"/>
          <w14:ligatures w14:val="standardContextual"/>
        </w:rPr>
      </w:pPr>
      <w:r w:rsidRPr="00DF64A2">
        <w:rPr>
          <w:kern w:val="2"/>
          <w14:ligatures w14:val="standardContextual"/>
        </w:rPr>
        <w:lastRenderedPageBreak/>
        <w:t>Comparative experiences in jurisdictions such as New Zealand and the United Kingdom provide a useful perspective on the practical implications of Tranche 2 reforms in Australia. In New Zealand, the staged extension of obligations to real estate agents resulted in a reported 153 per cent increase in SMRs within two years, increasing financial intelligence available to enforcement agencies.</w:t>
      </w:r>
      <w:r w:rsidRPr="00DF64A2">
        <w:rPr>
          <w:kern w:val="2"/>
          <w:vertAlign w:val="superscript"/>
          <w14:ligatures w14:val="standardContextual"/>
        </w:rPr>
        <w:footnoteReference w:id="49"/>
      </w:r>
      <w:r w:rsidRPr="00DF64A2">
        <w:rPr>
          <w:kern w:val="2"/>
          <w14:ligatures w14:val="standardContextual"/>
        </w:rPr>
        <w:t xml:space="preserve"> However, these regulatory gains were accompanied by substantial initial and ongoing compliance costs, particularly for small and medium-sized enterprises.</w:t>
      </w:r>
      <w:r w:rsidRPr="00DF64A2">
        <w:rPr>
          <w:kern w:val="2"/>
          <w:vertAlign w:val="superscript"/>
          <w14:ligatures w14:val="standardContextual"/>
        </w:rPr>
        <w:footnoteReference w:id="50"/>
      </w:r>
      <w:r w:rsidRPr="00DF64A2">
        <w:rPr>
          <w:kern w:val="2"/>
          <w14:ligatures w14:val="standardContextual"/>
        </w:rPr>
        <w:t xml:space="preserve"> These New Zealand agencies reported initial implementation costs averaging NZD 25,000-35,000.</w:t>
      </w:r>
      <w:r w:rsidRPr="00DF64A2">
        <w:rPr>
          <w:kern w:val="2"/>
          <w:vertAlign w:val="superscript"/>
          <w14:ligatures w14:val="standardContextual"/>
        </w:rPr>
        <w:footnoteReference w:id="51"/>
      </w:r>
      <w:r w:rsidRPr="00DF64A2">
        <w:rPr>
          <w:kern w:val="2"/>
          <w14:ligatures w14:val="standardContextual"/>
        </w:rPr>
        <w:t xml:space="preserve"> </w:t>
      </w:r>
    </w:p>
    <w:p w14:paraId="0ADD8C28" w14:textId="77777777" w:rsidR="008A14DD" w:rsidRPr="00DF64A2" w:rsidRDefault="008A14DD" w:rsidP="008A14DD">
      <w:pPr>
        <w:spacing w:after="0" w:line="480" w:lineRule="auto"/>
        <w:rPr>
          <w:kern w:val="2"/>
          <w14:ligatures w14:val="standardContextual"/>
        </w:rPr>
      </w:pPr>
    </w:p>
    <w:p w14:paraId="70569772"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A principal risk inherent in risk-based regulatory models, as experienced in the United Kingdom, is the phenomenon described as ‘defensive reporting’.</w:t>
      </w:r>
      <w:r w:rsidRPr="00DF64A2">
        <w:rPr>
          <w:kern w:val="2"/>
          <w:vertAlign w:val="superscript"/>
          <w14:ligatures w14:val="standardContextual"/>
        </w:rPr>
        <w:footnoteReference w:id="52"/>
      </w:r>
      <w:r w:rsidRPr="00DF64A2">
        <w:rPr>
          <w:kern w:val="2"/>
          <w14:ligatures w14:val="standardContextual"/>
        </w:rPr>
        <w:t xml:space="preserve"> Faced with potential criminal and civil liability, reporting entities may adopt an overly cautious approach by submitting high volumes of low-value or speculative reports that risk reducing the utility of the regime.</w:t>
      </w:r>
      <w:r w:rsidRPr="00DF64A2">
        <w:rPr>
          <w:kern w:val="2"/>
          <w:vertAlign w:val="superscript"/>
          <w14:ligatures w14:val="standardContextual"/>
        </w:rPr>
        <w:footnoteReference w:id="53"/>
      </w:r>
      <w:r w:rsidRPr="00DF64A2">
        <w:rPr>
          <w:kern w:val="2"/>
          <w14:ligatures w14:val="standardContextual"/>
        </w:rPr>
        <w:t xml:space="preserve"> Closely related concerns arise in the context of professional liability and corporate governance, discouraging experienced professionals from assuming leadership roles within regulated sectors.</w:t>
      </w:r>
      <w:r w:rsidRPr="00DF64A2">
        <w:rPr>
          <w:kern w:val="2"/>
          <w:vertAlign w:val="superscript"/>
          <w14:ligatures w14:val="standardContextual"/>
        </w:rPr>
        <w:footnoteReference w:id="54"/>
      </w:r>
      <w:r w:rsidRPr="00DF64A2">
        <w:rPr>
          <w:kern w:val="2"/>
          <w14:ligatures w14:val="standardContextual"/>
        </w:rPr>
        <w:t xml:space="preserve">  </w:t>
      </w:r>
    </w:p>
    <w:p w14:paraId="44FCE41A" w14:textId="77777777" w:rsidR="008A14DD" w:rsidRPr="00DF64A2" w:rsidRDefault="008A14DD" w:rsidP="008A14DD">
      <w:pPr>
        <w:spacing w:after="0" w:line="480" w:lineRule="auto"/>
        <w:rPr>
          <w:kern w:val="2"/>
          <w14:ligatures w14:val="standardContextual"/>
        </w:rPr>
      </w:pPr>
    </w:p>
    <w:p w14:paraId="6A050B2F" w14:textId="03D8C467" w:rsidR="008A14DD" w:rsidRPr="00201867" w:rsidRDefault="008A14DD" w:rsidP="008A14DD">
      <w:pPr>
        <w:spacing w:after="0" w:line="480" w:lineRule="auto"/>
        <w:rPr>
          <w:kern w:val="2"/>
          <w14:ligatures w14:val="standardContextual"/>
        </w:rPr>
      </w:pPr>
      <w:r w:rsidRPr="00DF64A2">
        <w:rPr>
          <w:kern w:val="2"/>
          <w14:ligatures w14:val="standardContextual"/>
        </w:rPr>
        <w:t>A further structural challenge is the practice of ‘de-risking’.</w:t>
      </w:r>
      <w:r w:rsidRPr="00DF64A2">
        <w:rPr>
          <w:kern w:val="2"/>
          <w:vertAlign w:val="superscript"/>
          <w14:ligatures w14:val="standardContextual"/>
        </w:rPr>
        <w:footnoteReference w:id="55"/>
      </w:r>
      <w:r w:rsidRPr="00DF64A2">
        <w:rPr>
          <w:kern w:val="2"/>
          <w14:ligatures w14:val="standardContextual"/>
        </w:rPr>
        <w:t xml:space="preserve"> Reporting entities may become overly risk-averse and withdraw from higher-risk client groups altogether.</w:t>
      </w:r>
      <w:r w:rsidRPr="00DF64A2">
        <w:rPr>
          <w:kern w:val="2"/>
          <w:vertAlign w:val="superscript"/>
          <w14:ligatures w14:val="standardContextual"/>
        </w:rPr>
        <w:footnoteReference w:id="56"/>
      </w:r>
      <w:r w:rsidRPr="00DF64A2">
        <w:rPr>
          <w:kern w:val="2"/>
          <w14:ligatures w14:val="standardContextual"/>
        </w:rPr>
        <w:t xml:space="preserve"> This could result in entities declining services to entire classes of customers perceived to present elevated compliance risks.</w:t>
      </w:r>
      <w:r w:rsidRPr="00DF64A2">
        <w:rPr>
          <w:kern w:val="2"/>
          <w:vertAlign w:val="superscript"/>
          <w14:ligatures w14:val="standardContextual"/>
        </w:rPr>
        <w:footnoteReference w:id="57"/>
      </w:r>
      <w:r w:rsidRPr="00DF64A2">
        <w:rPr>
          <w:kern w:val="2"/>
          <w14:ligatures w14:val="standardContextual"/>
        </w:rPr>
        <w:t xml:space="preserve"> Such practices may disproportionately affect vulnerable or emerging sectors, including refugees, </w:t>
      </w:r>
      <w:r w:rsidRPr="00DF64A2">
        <w:rPr>
          <w:kern w:val="2"/>
          <w14:ligatures w14:val="standardContextual"/>
        </w:rPr>
        <w:lastRenderedPageBreak/>
        <w:t>indigenous communities and Fintech start-ups.</w:t>
      </w:r>
      <w:r w:rsidRPr="00DF64A2">
        <w:rPr>
          <w:kern w:val="2"/>
          <w:vertAlign w:val="superscript"/>
          <w14:ligatures w14:val="standardContextual"/>
        </w:rPr>
        <w:footnoteReference w:id="58"/>
      </w:r>
      <w:r w:rsidRPr="00DF64A2">
        <w:rPr>
          <w:kern w:val="2"/>
          <w14:ligatures w14:val="standardContextual"/>
        </w:rPr>
        <w:t xml:space="preserve"> Such outcomes undermine the inclusivity of professional and financial services emphasise the need for regulators to ensure the risk-based framework remains operative rather than exclusionary.</w:t>
      </w:r>
      <w:r w:rsidRPr="00DF64A2">
        <w:rPr>
          <w:kern w:val="2"/>
          <w:vertAlign w:val="superscript"/>
          <w14:ligatures w14:val="standardContextual"/>
        </w:rPr>
        <w:footnoteReference w:id="59"/>
      </w:r>
      <w:r w:rsidRPr="00DF64A2">
        <w:rPr>
          <w:kern w:val="2"/>
          <w14:ligatures w14:val="standardContextual"/>
        </w:rPr>
        <w:t xml:space="preserve"> </w:t>
      </w:r>
    </w:p>
    <w:p w14:paraId="5E8B0CD3" w14:textId="77777777" w:rsidR="008A14DD" w:rsidRPr="00DF64A2" w:rsidRDefault="008A14DD" w:rsidP="008A14DD">
      <w:pPr>
        <w:spacing w:after="0" w:line="480" w:lineRule="auto"/>
        <w:rPr>
          <w:b/>
          <w:bCs/>
          <w:kern w:val="2"/>
          <w14:ligatures w14:val="standardContextual"/>
        </w:rPr>
      </w:pPr>
    </w:p>
    <w:p w14:paraId="1777D312" w14:textId="6AE3862A" w:rsidR="008A14DD" w:rsidRPr="000A77AE" w:rsidRDefault="00201867"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IX LOOKING AHEAD: TIMELINE FOR CHANGE</w:t>
      </w:r>
    </w:p>
    <w:p w14:paraId="6AE919E6" w14:textId="77777777" w:rsidR="008A14DD" w:rsidRPr="00DF64A2" w:rsidRDefault="008A14DD" w:rsidP="008A14DD">
      <w:pPr>
        <w:spacing w:after="0" w:line="480" w:lineRule="auto"/>
        <w:rPr>
          <w:b/>
          <w:bCs/>
          <w:kern w:val="2"/>
          <w14:ligatures w14:val="standardContextual"/>
        </w:rPr>
      </w:pPr>
    </w:p>
    <w:p w14:paraId="0B938DE2"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The transition to the reformed AML/CTF framework has been implemented on a phased basis, reflecting the scale and complexity.</w:t>
      </w:r>
      <w:r w:rsidRPr="00DF64A2">
        <w:rPr>
          <w:kern w:val="2"/>
          <w:vertAlign w:val="superscript"/>
          <w14:ligatures w14:val="standardContextual"/>
        </w:rPr>
        <w:footnoteReference w:id="60"/>
      </w:r>
      <w:r w:rsidRPr="00DF64A2">
        <w:rPr>
          <w:kern w:val="2"/>
          <w14:ligatures w14:val="standardContextual"/>
        </w:rPr>
        <w:t xml:space="preserve"> Current reporting entities became subject to the modernised obligations from 31 March 2026, while the core Tranche 2 obligations applicable to lawyers, accountants, conveyancers, real estate professionals, and other newly regulated sectors commence on 1 July 2026.</w:t>
      </w:r>
      <w:r w:rsidRPr="00DF64A2">
        <w:rPr>
          <w:kern w:val="2"/>
          <w:vertAlign w:val="superscript"/>
          <w14:ligatures w14:val="standardContextual"/>
        </w:rPr>
        <w:footnoteReference w:id="61"/>
      </w:r>
      <w:r w:rsidRPr="00DF64A2">
        <w:rPr>
          <w:kern w:val="2"/>
          <w14:ligatures w14:val="standardContextual"/>
        </w:rPr>
        <w:t xml:space="preserve"> By this date, entities must be enrolled with AUSTRAC and have implemented compliant AML/CTF programs, including customer due diligence and reporting systems.</w:t>
      </w:r>
      <w:r w:rsidRPr="00DF64A2">
        <w:rPr>
          <w:kern w:val="2"/>
          <w:vertAlign w:val="superscript"/>
          <w14:ligatures w14:val="standardContextual"/>
        </w:rPr>
        <w:footnoteReference w:id="62"/>
      </w:r>
    </w:p>
    <w:p w14:paraId="36B6DE36" w14:textId="77777777" w:rsidR="008A14DD" w:rsidRPr="00DF64A2" w:rsidRDefault="008A14DD" w:rsidP="008A14DD">
      <w:pPr>
        <w:spacing w:after="0" w:line="480" w:lineRule="auto"/>
        <w:rPr>
          <w:kern w:val="2"/>
          <w14:ligatures w14:val="standardContextual"/>
        </w:rPr>
      </w:pPr>
    </w:p>
    <w:p w14:paraId="20777F8E"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In anticipation of these milestones, practitioners should adopt a proactive systems-based approach to compliance.</w:t>
      </w:r>
      <w:r w:rsidRPr="00DF64A2">
        <w:rPr>
          <w:kern w:val="2"/>
          <w:vertAlign w:val="superscript"/>
          <w14:ligatures w14:val="standardContextual"/>
        </w:rPr>
        <w:footnoteReference w:id="63"/>
      </w:r>
      <w:r w:rsidRPr="00DF64A2">
        <w:rPr>
          <w:kern w:val="2"/>
          <w14:ligatures w14:val="standardContextual"/>
        </w:rPr>
        <w:t xml:space="preserve"> This includes conducting an early assessment of whether services provided fall within the expanded s 6 definition of ‘designated services’, reviewing engagement terms to cover statutory reporting and modified confidentiality, and engaging with emerging regulatory guidance.</w:t>
      </w:r>
      <w:r w:rsidRPr="00DF64A2">
        <w:rPr>
          <w:kern w:val="2"/>
          <w:vertAlign w:val="superscript"/>
          <w14:ligatures w14:val="standardContextual"/>
        </w:rPr>
        <w:footnoteReference w:id="64"/>
      </w:r>
      <w:r w:rsidRPr="00DF64A2">
        <w:rPr>
          <w:kern w:val="2"/>
          <w14:ligatures w14:val="standardContextual"/>
        </w:rPr>
        <w:t xml:space="preserve"> Professional associations and AUSTRAC have issued extensive preparatory materials aimed at supporting the transition to the new regime.</w:t>
      </w:r>
      <w:r w:rsidRPr="00DF64A2">
        <w:rPr>
          <w:kern w:val="2"/>
          <w:vertAlign w:val="superscript"/>
          <w14:ligatures w14:val="standardContextual"/>
        </w:rPr>
        <w:footnoteReference w:id="65"/>
      </w:r>
    </w:p>
    <w:p w14:paraId="23653E6F" w14:textId="77777777" w:rsidR="008A14DD" w:rsidRPr="00DF64A2" w:rsidRDefault="008A14DD" w:rsidP="008A14DD">
      <w:pPr>
        <w:spacing w:after="0" w:line="480" w:lineRule="auto"/>
        <w:rPr>
          <w:kern w:val="2"/>
          <w14:ligatures w14:val="standardContextual"/>
        </w:rPr>
      </w:pPr>
    </w:p>
    <w:p w14:paraId="7E18E59D" w14:textId="77777777" w:rsidR="008A14DD" w:rsidRPr="00DF64A2" w:rsidRDefault="008A14DD" w:rsidP="008A14DD">
      <w:pPr>
        <w:spacing w:after="0" w:line="480" w:lineRule="auto"/>
        <w:rPr>
          <w:kern w:val="2"/>
          <w14:ligatures w14:val="standardContextual"/>
        </w:rPr>
      </w:pPr>
    </w:p>
    <w:p w14:paraId="1C2DA835" w14:textId="2B56FDC3" w:rsidR="008A14DD" w:rsidRPr="000A77AE" w:rsidRDefault="00201867" w:rsidP="00201867">
      <w:pPr>
        <w:spacing w:after="0" w:line="480" w:lineRule="auto"/>
        <w:jc w:val="center"/>
        <w:rPr>
          <w:b/>
          <w:bCs/>
          <w:kern w:val="2"/>
          <w:sz w:val="28"/>
          <w:szCs w:val="28"/>
          <w14:ligatures w14:val="standardContextual"/>
        </w:rPr>
      </w:pPr>
      <w:r w:rsidRPr="000A77AE">
        <w:rPr>
          <w:b/>
          <w:bCs/>
          <w:kern w:val="2"/>
          <w:sz w:val="28"/>
          <w:szCs w:val="28"/>
          <w14:ligatures w14:val="standardContextual"/>
        </w:rPr>
        <w:t>X CONCLUSION</w:t>
      </w:r>
    </w:p>
    <w:p w14:paraId="1E9AA996" w14:textId="77777777" w:rsidR="008A14DD" w:rsidRPr="00DF64A2" w:rsidRDefault="008A14DD" w:rsidP="008A14DD">
      <w:pPr>
        <w:spacing w:after="0" w:line="480" w:lineRule="auto"/>
        <w:rPr>
          <w:kern w:val="2"/>
          <w14:ligatures w14:val="standardContextual"/>
        </w:rPr>
      </w:pPr>
    </w:p>
    <w:p w14:paraId="2E68990A" w14:textId="77777777" w:rsidR="008A14DD" w:rsidRPr="00DF64A2" w:rsidRDefault="008A14DD" w:rsidP="008A14DD">
      <w:pPr>
        <w:spacing w:after="0" w:line="480" w:lineRule="auto"/>
        <w:rPr>
          <w:kern w:val="2"/>
          <w14:ligatures w14:val="standardContextual"/>
        </w:rPr>
      </w:pPr>
      <w:r w:rsidRPr="00DF64A2">
        <w:rPr>
          <w:kern w:val="2"/>
          <w14:ligatures w14:val="standardContextual"/>
        </w:rPr>
        <w:t>The Tranche 2 reforms signal a decisive shift in the regulation of professional services in Australia, embedding gatekeeper professions within the broader framework of financial crime prevention.</w:t>
      </w:r>
      <w:r w:rsidRPr="00DF64A2">
        <w:rPr>
          <w:kern w:val="2"/>
          <w:vertAlign w:val="superscript"/>
          <w14:ligatures w14:val="standardContextual"/>
        </w:rPr>
        <w:footnoteReference w:id="66"/>
      </w:r>
      <w:r w:rsidRPr="00DF64A2">
        <w:rPr>
          <w:kern w:val="2"/>
          <w14:ligatures w14:val="standardContextual"/>
        </w:rPr>
        <w:t xml:space="preserve"> While the administrative and ethical burdens are substantial, the expansion of the </w:t>
      </w:r>
      <w:r w:rsidRPr="00DF64A2">
        <w:rPr>
          <w:i/>
          <w:iCs/>
          <w:kern w:val="2"/>
          <w14:ligatures w14:val="standardContextual"/>
        </w:rPr>
        <w:t>AML/CTF Act</w:t>
      </w:r>
      <w:r w:rsidRPr="00DF64A2">
        <w:rPr>
          <w:kern w:val="2"/>
          <w14:ligatures w14:val="standardContextual"/>
        </w:rPr>
        <w:t xml:space="preserve"> to capture ‘gatekeeper’ professions seeks to strengthen the resilience of the professional sector against exploitation by organised crime.</w:t>
      </w:r>
      <w:r w:rsidRPr="00DF64A2">
        <w:rPr>
          <w:kern w:val="2"/>
          <w:vertAlign w:val="superscript"/>
          <w14:ligatures w14:val="standardContextual"/>
        </w:rPr>
        <w:footnoteReference w:id="67"/>
      </w:r>
      <w:r w:rsidRPr="00DF64A2">
        <w:rPr>
          <w:kern w:val="2"/>
          <w14:ligatures w14:val="standardContextual"/>
        </w:rPr>
        <w:t xml:space="preserve"> The transition requires a reconceptualisation of professional responsibility, whereby these obligations are understood as integral to professional integrity and market confidence. As the commencement of Tranche 2 approaches, the regulatory expectation is clear: passive approaches to compliance are no longer viable.</w:t>
      </w:r>
      <w:r w:rsidRPr="00DF64A2">
        <w:rPr>
          <w:kern w:val="2"/>
          <w:vertAlign w:val="superscript"/>
          <w14:ligatures w14:val="standardContextual"/>
        </w:rPr>
        <w:footnoteReference w:id="68"/>
      </w:r>
      <w:r w:rsidRPr="00DF64A2">
        <w:rPr>
          <w:kern w:val="2"/>
          <w14:ligatures w14:val="standardContextual"/>
        </w:rPr>
        <w:t xml:space="preserve"> Instead, institutional accountability, sustained vigilance, and the integration of compliance into everyday professional decision‑making will be essential. </w:t>
      </w:r>
    </w:p>
    <w:p w14:paraId="7DC3DB49" w14:textId="77777777" w:rsidR="008A14DD" w:rsidRPr="00DF64A2" w:rsidRDefault="008A14DD" w:rsidP="008A14DD">
      <w:pPr>
        <w:spacing w:after="0" w:line="480" w:lineRule="auto"/>
        <w:rPr>
          <w:kern w:val="2"/>
          <w14:ligatures w14:val="standardContextual"/>
        </w:rPr>
      </w:pPr>
    </w:p>
    <w:p w14:paraId="5DC08ABC" w14:textId="77777777" w:rsidR="008A14DD" w:rsidRPr="00DF64A2" w:rsidRDefault="008A14DD" w:rsidP="008A14DD">
      <w:pPr>
        <w:spacing w:after="0" w:line="480" w:lineRule="auto"/>
        <w:rPr>
          <w:kern w:val="2"/>
          <w14:ligatures w14:val="standardContextual"/>
        </w:rPr>
      </w:pPr>
    </w:p>
    <w:p w14:paraId="6695B61E" w14:textId="3E973ADE" w:rsidR="00FD42E0" w:rsidRDefault="00FD42E0" w:rsidP="00D74462">
      <w:pPr>
        <w:pStyle w:val="Heading1"/>
      </w:pPr>
    </w:p>
    <w:p w14:paraId="21B70BA4" w14:textId="4351E487" w:rsidR="001F059D" w:rsidRDefault="001F059D" w:rsidP="00235853"/>
    <w:p w14:paraId="49D6CE47" w14:textId="77777777" w:rsidR="00201867" w:rsidRPr="00235853" w:rsidRDefault="00201867" w:rsidP="00235853"/>
    <w:p w14:paraId="54B204E1" w14:textId="439C9867" w:rsidR="000F108B" w:rsidRDefault="000F108B" w:rsidP="00235853">
      <w:r>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58244"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121B674F" id="_x0000_s1034" style="position:absolute;margin-left:-54pt;margin-top:149.8pt;width:594.2pt;height:85.4pt;z-index:251658244;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58245"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59E55" id="Text Box 27" o:spid="_x0000_s1038" type="#_x0000_t202" style="position:absolute;margin-left:-12.7pt;margin-top:263.05pt;width:507.85pt;height:44.1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58240"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58241"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8CF73" w14:textId="77777777" w:rsidR="00FD48FC" w:rsidRDefault="00FD48FC" w:rsidP="00235853">
      <w:r>
        <w:separator/>
      </w:r>
    </w:p>
  </w:endnote>
  <w:endnote w:type="continuationSeparator" w:id="0">
    <w:p w14:paraId="5308F0A4" w14:textId="77777777" w:rsidR="00FD48FC" w:rsidRDefault="00FD48FC"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19CDA" w14:textId="77777777" w:rsidR="00FD48FC" w:rsidRDefault="00FD48FC" w:rsidP="00235853">
      <w:r>
        <w:separator/>
      </w:r>
    </w:p>
  </w:footnote>
  <w:footnote w:type="continuationSeparator" w:id="0">
    <w:p w14:paraId="0B70BDE5" w14:textId="77777777" w:rsidR="00FD48FC" w:rsidRDefault="00FD48FC" w:rsidP="00235853">
      <w:r>
        <w:continuationSeparator/>
      </w:r>
    </w:p>
  </w:footnote>
  <w:footnote w:id="1">
    <w:p w14:paraId="4ABA380E"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Andrea Beatty and Tom Murdoch, ‘We are in the “tranches” now: major reform on the horizon for Australia’s anti-money laundering and counter-terrorism financing laws’ (2023) 22(5) </w:t>
      </w:r>
      <w:r w:rsidRPr="007D6BFC">
        <w:rPr>
          <w:rFonts w:ascii="Times New Roman" w:hAnsi="Times New Roman" w:cs="Times New Roman"/>
          <w:i/>
          <w:iCs/>
        </w:rPr>
        <w:t>Financial Services Newsletter</w:t>
      </w:r>
      <w:r w:rsidRPr="007D6BFC">
        <w:rPr>
          <w:rFonts w:ascii="Times New Roman" w:hAnsi="Times New Roman" w:cs="Times New Roman"/>
        </w:rPr>
        <w:t xml:space="preserve"> 75, 75. </w:t>
      </w:r>
    </w:p>
  </w:footnote>
  <w:footnote w:id="2">
    <w:p w14:paraId="65055005"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Anti-Money Laundering and Counter Terrorism Financing Amendment Act 2024</w:t>
      </w:r>
      <w:r w:rsidRPr="007D6BFC">
        <w:rPr>
          <w:rFonts w:ascii="Times New Roman" w:hAnsi="Times New Roman" w:cs="Times New Roman"/>
        </w:rPr>
        <w:t xml:space="preserve"> (Cth) (‘</w:t>
      </w:r>
      <w:r w:rsidRPr="007D6BFC">
        <w:rPr>
          <w:rFonts w:ascii="Times New Roman" w:hAnsi="Times New Roman" w:cs="Times New Roman"/>
          <w:i/>
          <w:iCs/>
        </w:rPr>
        <w:t>AML/CTF Amendment Act’</w:t>
      </w:r>
      <w:r w:rsidRPr="007D6BFC">
        <w:rPr>
          <w:rFonts w:ascii="Times New Roman" w:hAnsi="Times New Roman" w:cs="Times New Roman"/>
        </w:rPr>
        <w:t xml:space="preserve">). </w:t>
      </w:r>
    </w:p>
  </w:footnote>
  <w:footnote w:id="3">
    <w:p w14:paraId="17DBAEFA" w14:textId="77777777" w:rsidR="008A14DD" w:rsidRPr="007D6BFC" w:rsidRDefault="008A14DD" w:rsidP="00333D16">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Anti-Money Laundering and Counter Terrorism Financing Act 2006</w:t>
      </w:r>
      <w:r w:rsidRPr="007D6BFC">
        <w:rPr>
          <w:rFonts w:ascii="Times New Roman" w:hAnsi="Times New Roman" w:cs="Times New Roman"/>
        </w:rPr>
        <w:t xml:space="preserve"> (Cth) (‘</w:t>
      </w:r>
      <w:r w:rsidRPr="007D6BFC">
        <w:rPr>
          <w:rFonts w:ascii="Times New Roman" w:hAnsi="Times New Roman" w:cs="Times New Roman"/>
          <w:i/>
          <w:iCs/>
        </w:rPr>
        <w:t>AML/CTF Act’</w:t>
      </w:r>
      <w:r w:rsidRPr="007D6BFC">
        <w:rPr>
          <w:rFonts w:ascii="Times New Roman" w:hAnsi="Times New Roman" w:cs="Times New Roman"/>
        </w:rPr>
        <w:t xml:space="preserve">). </w:t>
      </w:r>
    </w:p>
  </w:footnote>
  <w:footnote w:id="4">
    <w:p w14:paraId="61D47A85"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Nuncio D’Angelo, ‘Business ethics and the practice of law: An "inherent tension"’ (2025) 99(6) </w:t>
      </w:r>
      <w:r w:rsidRPr="007D6BFC">
        <w:rPr>
          <w:rFonts w:ascii="Times New Roman" w:hAnsi="Times New Roman" w:cs="Times New Roman"/>
          <w:i/>
          <w:iCs/>
        </w:rPr>
        <w:t>Australian Law Journal</w:t>
      </w:r>
      <w:r w:rsidRPr="007D6BFC">
        <w:rPr>
          <w:rFonts w:ascii="Times New Roman" w:hAnsi="Times New Roman" w:cs="Times New Roman"/>
        </w:rPr>
        <w:t xml:space="preserve"> 437, 438. </w:t>
      </w:r>
    </w:p>
  </w:footnote>
  <w:footnote w:id="5">
    <w:p w14:paraId="2F6D2805" w14:textId="56FE582F"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Beatty and Murdoch (n 1) 77.</w:t>
      </w:r>
    </w:p>
  </w:footnote>
  <w:footnote w:id="6">
    <w:p w14:paraId="09A50A48"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Brendon Murphy, ‘An Update on Australia's Anti- Money Laundering Act’ (2025) 99(5) 388, 388-389.</w:t>
      </w:r>
    </w:p>
  </w:footnote>
  <w:footnote w:id="7">
    <w:p w14:paraId="1B88240E"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D’Angelo (n 4) 438. </w:t>
      </w:r>
    </w:p>
  </w:footnote>
  <w:footnote w:id="8">
    <w:p w14:paraId="50DBF3E4"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 xml:space="preserve">(n 3) s 6. </w:t>
      </w:r>
    </w:p>
  </w:footnote>
  <w:footnote w:id="9">
    <w:p w14:paraId="2128649F" w14:textId="2A0E697B"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Amendment Act </w:t>
      </w:r>
      <w:r w:rsidRPr="007D6BFC">
        <w:rPr>
          <w:rFonts w:ascii="Times New Roman" w:hAnsi="Times New Roman" w:cs="Times New Roman"/>
        </w:rPr>
        <w:t>(n 2).</w:t>
      </w:r>
    </w:p>
  </w:footnote>
  <w:footnote w:id="10">
    <w:p w14:paraId="25A8E5BB" w14:textId="638538EF" w:rsidR="008A14DD" w:rsidRPr="007D6BFC" w:rsidRDefault="008A14DD" w:rsidP="00897CE6">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David Chaikin, ‘Past Promises and Future Directions: Anti-Money Laundering Regulation and The Legal Profession’ (2025) 48(1) </w:t>
      </w:r>
      <w:r w:rsidRPr="007D6BFC">
        <w:rPr>
          <w:rFonts w:ascii="Times New Roman" w:hAnsi="Times New Roman" w:cs="Times New Roman"/>
          <w:i/>
          <w:iCs/>
        </w:rPr>
        <w:t>University of New South Wales Law Journal</w:t>
      </w:r>
      <w:r w:rsidRPr="007D6BFC">
        <w:rPr>
          <w:rFonts w:ascii="Times New Roman" w:hAnsi="Times New Roman" w:cs="Times New Roman"/>
        </w:rPr>
        <w:t xml:space="preserve"> 237, 255. </w:t>
      </w:r>
    </w:p>
  </w:footnote>
  <w:footnote w:id="11">
    <w:p w14:paraId="5B81F2BA"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Wendy Yang, ‘AML/CTF reforms the legal profession prepares for change’ (2026) 15 </w:t>
      </w:r>
      <w:r w:rsidRPr="007D6BFC">
        <w:rPr>
          <w:rFonts w:ascii="Times New Roman" w:hAnsi="Times New Roman" w:cs="Times New Roman"/>
          <w:i/>
          <w:iCs/>
        </w:rPr>
        <w:t>Law Society of New South Wales</w:t>
      </w:r>
      <w:r w:rsidRPr="007D6BFC">
        <w:rPr>
          <w:rFonts w:ascii="Times New Roman" w:hAnsi="Times New Roman" w:cs="Times New Roman"/>
        </w:rPr>
        <w:t xml:space="preserve"> 34, 37. </w:t>
      </w:r>
    </w:p>
  </w:footnote>
  <w:footnote w:id="12">
    <w:p w14:paraId="2349A177" w14:textId="77777777" w:rsidR="008A14DD" w:rsidRPr="007D6BFC" w:rsidRDefault="008A14DD" w:rsidP="006A74D0">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Isabelle Nicolas, ‘Striking the balance: anti-money laundering goals and legal privilege in Australia’ (2025) 37(2) </w:t>
      </w:r>
      <w:r w:rsidRPr="007D6BFC">
        <w:rPr>
          <w:rFonts w:ascii="Times New Roman" w:hAnsi="Times New Roman" w:cs="Times New Roman"/>
          <w:i/>
          <w:iCs/>
        </w:rPr>
        <w:t>Current Issues in Criminal Justice</w:t>
      </w:r>
      <w:r w:rsidRPr="007D6BFC">
        <w:rPr>
          <w:rFonts w:ascii="Times New Roman" w:hAnsi="Times New Roman" w:cs="Times New Roman"/>
        </w:rPr>
        <w:t xml:space="preserve"> 208, 217. </w:t>
      </w:r>
    </w:p>
  </w:footnote>
  <w:footnote w:id="13">
    <w:p w14:paraId="5AC4082D" w14:textId="77777777" w:rsidR="008A14DD" w:rsidRPr="007D6BFC" w:rsidRDefault="008A14DD" w:rsidP="00BE6C24">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Juliana Warner, ‘Anti-money Laundering and Counter Terrorism Legislation: Tranche 2 entities’ (2025) 273 </w:t>
      </w:r>
      <w:r w:rsidRPr="007D6BFC">
        <w:rPr>
          <w:rFonts w:ascii="Times New Roman" w:hAnsi="Times New Roman" w:cs="Times New Roman"/>
          <w:i/>
          <w:iCs/>
        </w:rPr>
        <w:t>Law Society of the Act Journal</w:t>
      </w:r>
      <w:r w:rsidRPr="007D6BFC">
        <w:rPr>
          <w:rFonts w:ascii="Times New Roman" w:hAnsi="Times New Roman" w:cs="Times New Roman"/>
        </w:rPr>
        <w:t xml:space="preserve"> 16, 17. </w:t>
      </w:r>
    </w:p>
  </w:footnote>
  <w:footnote w:id="14">
    <w:p w14:paraId="2D7A9E29"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Murphy (n 6) 397. </w:t>
      </w:r>
    </w:p>
  </w:footnote>
  <w:footnote w:id="15">
    <w:p w14:paraId="54124F61"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Yang (n 11) 37.</w:t>
      </w:r>
    </w:p>
  </w:footnote>
  <w:footnote w:id="16">
    <w:p w14:paraId="5D7C16D3" w14:textId="77777777" w:rsidR="008A14DD" w:rsidRPr="007D6BFC" w:rsidRDefault="008A14DD" w:rsidP="00D0207F">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Matthew Leighton-Daly, ‘AML regulation of accountants and lawyers’ (2026) 60(8) </w:t>
      </w:r>
      <w:r w:rsidRPr="007D6BFC">
        <w:rPr>
          <w:rFonts w:ascii="Times New Roman" w:hAnsi="Times New Roman" w:cs="Times New Roman"/>
          <w:i/>
          <w:iCs/>
        </w:rPr>
        <w:t>Taxation in Australia</w:t>
      </w:r>
      <w:r w:rsidRPr="007D6BFC">
        <w:rPr>
          <w:rFonts w:ascii="Times New Roman" w:hAnsi="Times New Roman" w:cs="Times New Roman"/>
        </w:rPr>
        <w:t xml:space="preserve"> 444, 444. </w:t>
      </w:r>
    </w:p>
  </w:footnote>
  <w:footnote w:id="17">
    <w:p w14:paraId="7C848DA4"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18">
    <w:p w14:paraId="043AC97D" w14:textId="77777777" w:rsidR="008A14DD" w:rsidRPr="007D6BFC" w:rsidRDefault="008A14DD" w:rsidP="005E53FA">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Justin Simpkins, ‘Australia’s regulation of money laundering and terrorism financing’ (2024) 32(1) </w:t>
      </w:r>
    </w:p>
    <w:p w14:paraId="5E506C18" w14:textId="77777777" w:rsidR="008A14DD" w:rsidRPr="007D6BFC" w:rsidRDefault="008A14DD" w:rsidP="005E53FA">
      <w:pPr>
        <w:pStyle w:val="FootnoteText"/>
        <w:rPr>
          <w:rFonts w:ascii="Times New Roman" w:hAnsi="Times New Roman" w:cs="Times New Roman"/>
        </w:rPr>
      </w:pPr>
      <w:r w:rsidRPr="007D6BFC">
        <w:rPr>
          <w:rFonts w:ascii="Times New Roman" w:hAnsi="Times New Roman" w:cs="Times New Roman"/>
          <w:i/>
          <w:iCs/>
        </w:rPr>
        <w:t>Australian Risk Management</w:t>
      </w:r>
      <w:r w:rsidRPr="007D6BFC">
        <w:rPr>
          <w:rFonts w:ascii="Times New Roman" w:hAnsi="Times New Roman" w:cs="Times New Roman"/>
        </w:rPr>
        <w:t xml:space="preserve"> 138, 149; Yang (n 11) 46.</w:t>
      </w:r>
    </w:p>
  </w:footnote>
  <w:footnote w:id="19">
    <w:p w14:paraId="4E4FAA96"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Australian Transaction Reports and Analysis Centre, ‘Program starter kits’ (Web Page) &lt; </w:t>
      </w:r>
      <w:hyperlink r:id="rId1" w:history="1">
        <w:r w:rsidRPr="007D6BFC">
          <w:rPr>
            <w:rStyle w:val="Hyperlink"/>
            <w:rFonts w:ascii="Times New Roman" w:hAnsi="Times New Roman" w:cs="Times New Roman"/>
          </w:rPr>
          <w:t>https://www.austrac.gov.au/industry-and-business/obligations-and-guidance/program-starter-kits</w:t>
        </w:r>
      </w:hyperlink>
      <w:r w:rsidRPr="007D6BFC">
        <w:rPr>
          <w:rFonts w:ascii="Times New Roman" w:hAnsi="Times New Roman" w:cs="Times New Roman"/>
        </w:rPr>
        <w:t xml:space="preserve">&gt; </w:t>
      </w:r>
    </w:p>
  </w:footnote>
  <w:footnote w:id="20">
    <w:p w14:paraId="61501C79"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(n 3) ss 28-32; D’Angelo (n 4) 439.</w:t>
      </w:r>
    </w:p>
  </w:footnote>
  <w:footnote w:id="21">
    <w:p w14:paraId="596141F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(n 3) s 37; Chaikin (n 10) 270-271.</w:t>
      </w:r>
    </w:p>
  </w:footnote>
  <w:footnote w:id="22">
    <w:p w14:paraId="032BC1A7" w14:textId="77777777" w:rsidR="008A14DD" w:rsidRPr="007D6BFC" w:rsidRDefault="008A14DD" w:rsidP="00B8711C">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Simpkins (n 18) 149. </w:t>
      </w:r>
    </w:p>
  </w:footnote>
  <w:footnote w:id="23">
    <w:p w14:paraId="40B0C3E3" w14:textId="77777777" w:rsidR="008A14DD" w:rsidRPr="007D6BFC" w:rsidRDefault="008A14DD" w:rsidP="00FF037B">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145-146. </w:t>
      </w:r>
    </w:p>
  </w:footnote>
  <w:footnote w:id="24">
    <w:p w14:paraId="5857B95A"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 xml:space="preserve">(n 3) pt 15. </w:t>
      </w:r>
    </w:p>
  </w:footnote>
  <w:footnote w:id="25">
    <w:p w14:paraId="386E9307" w14:textId="5EDC00C8"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Chief Executive Officer of the Australian Transaction Reports and Analysis Centre v Westpac Banking Corporation</w:t>
      </w:r>
      <w:r w:rsidRPr="007D6BFC">
        <w:rPr>
          <w:rFonts w:ascii="Times New Roman" w:hAnsi="Times New Roman" w:cs="Times New Roman"/>
        </w:rPr>
        <w:t xml:space="preserve"> [2020] FCA 1538. </w:t>
      </w:r>
    </w:p>
  </w:footnote>
  <w:footnote w:id="26">
    <w:p w14:paraId="050B4B83"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 xml:space="preserve">(n 3) s 41; Chaikin (n 10) 257-258. </w:t>
      </w:r>
    </w:p>
  </w:footnote>
  <w:footnote w:id="27">
    <w:p w14:paraId="1D5C9D8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Yang (n 11) 37; Chaikin (n 10) 258. </w:t>
      </w:r>
    </w:p>
  </w:footnote>
  <w:footnote w:id="28">
    <w:p w14:paraId="0513518E"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Chaikin (n 10) 258. </w:t>
      </w:r>
    </w:p>
  </w:footnote>
  <w:footnote w:id="29">
    <w:p w14:paraId="512C7972" w14:textId="77777777" w:rsidR="008A14DD" w:rsidRPr="007D6BFC" w:rsidRDefault="008A14DD" w:rsidP="001E16D9">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 xml:space="preserve">(n 3) s 123; Simpkins (n 18) 149. </w:t>
      </w:r>
    </w:p>
  </w:footnote>
  <w:footnote w:id="30">
    <w:p w14:paraId="323BE17B"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Chaikin (n 10) 258-259. </w:t>
      </w:r>
    </w:p>
  </w:footnote>
  <w:footnote w:id="31">
    <w:p w14:paraId="3E46081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(n 3) s 123 ss 4-6; Chaikin (n 10) 258-259.</w:t>
      </w:r>
    </w:p>
  </w:footnote>
  <w:footnote w:id="32">
    <w:p w14:paraId="1FB072F5"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Chaikin (n 10) 267-269.</w:t>
      </w:r>
    </w:p>
  </w:footnote>
  <w:footnote w:id="33">
    <w:p w14:paraId="4F36E15E"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34">
    <w:p w14:paraId="0770AE1D"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Act </w:t>
      </w:r>
      <w:r w:rsidRPr="007D6BFC">
        <w:rPr>
          <w:rFonts w:ascii="Times New Roman" w:hAnsi="Times New Roman" w:cs="Times New Roman"/>
        </w:rPr>
        <w:t>(n 3) s 242.</w:t>
      </w:r>
    </w:p>
  </w:footnote>
  <w:footnote w:id="35">
    <w:p w14:paraId="08D455A5"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Matthew Leighton-Daly, ‘AML regulation of accountants and lawyers’ (2026) 60(8) </w:t>
      </w:r>
      <w:r w:rsidRPr="007D6BFC">
        <w:rPr>
          <w:rFonts w:ascii="Times New Roman" w:hAnsi="Times New Roman" w:cs="Times New Roman"/>
          <w:i/>
          <w:iCs/>
        </w:rPr>
        <w:t>Taxation in Australia</w:t>
      </w:r>
      <w:r w:rsidRPr="007D6BFC">
        <w:rPr>
          <w:rFonts w:ascii="Times New Roman" w:hAnsi="Times New Roman" w:cs="Times New Roman"/>
        </w:rPr>
        <w:t xml:space="preserve"> 444, 446-447. </w:t>
      </w:r>
    </w:p>
  </w:footnote>
  <w:footnote w:id="36">
    <w:p w14:paraId="54E65CE1"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Leighton-Daly (n 16) 448. </w:t>
      </w:r>
    </w:p>
  </w:footnote>
  <w:footnote w:id="37">
    <w:p w14:paraId="2485F796"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Murphy (n 6) 399. </w:t>
      </w:r>
    </w:p>
  </w:footnote>
  <w:footnote w:id="38">
    <w:p w14:paraId="4277F2C9"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Evidence Act 1995</w:t>
      </w:r>
      <w:r w:rsidRPr="007D6BFC">
        <w:rPr>
          <w:rFonts w:ascii="Times New Roman" w:hAnsi="Times New Roman" w:cs="Times New Roman"/>
        </w:rPr>
        <w:t xml:space="preserve"> (NSW) s 125; Nicolas (n 12) 212-213.</w:t>
      </w:r>
    </w:p>
  </w:footnote>
  <w:footnote w:id="39">
    <w:p w14:paraId="0EA9D2D4" w14:textId="77777777" w:rsidR="008A14DD" w:rsidRPr="007D6BFC" w:rsidRDefault="008A14DD" w:rsidP="00A0684C">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Doron Goldbarsht, ‘Adapting director liability to modern AML/CTF compliance: risks and regulatory implications in Australia’ (2025) 37(2) </w:t>
      </w:r>
      <w:r w:rsidRPr="007D6BFC">
        <w:rPr>
          <w:rFonts w:ascii="Times New Roman" w:hAnsi="Times New Roman" w:cs="Times New Roman"/>
          <w:i/>
          <w:iCs/>
        </w:rPr>
        <w:t>Current Issues in Criminal Justice</w:t>
      </w:r>
      <w:r w:rsidRPr="007D6BFC">
        <w:rPr>
          <w:rFonts w:ascii="Times New Roman" w:hAnsi="Times New Roman" w:cs="Times New Roman"/>
        </w:rPr>
        <w:t xml:space="preserve"> 228, 228.</w:t>
      </w:r>
    </w:p>
  </w:footnote>
  <w:footnote w:id="40">
    <w:p w14:paraId="2409BF45"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Corporations Act 2001</w:t>
      </w:r>
      <w:r w:rsidRPr="007D6BFC">
        <w:rPr>
          <w:rFonts w:ascii="Times New Roman" w:hAnsi="Times New Roman" w:cs="Times New Roman"/>
        </w:rPr>
        <w:t xml:space="preserve"> (Cth) s 180 (‘</w:t>
      </w:r>
      <w:r w:rsidRPr="007D6BFC">
        <w:rPr>
          <w:rFonts w:ascii="Times New Roman" w:hAnsi="Times New Roman" w:cs="Times New Roman"/>
          <w:i/>
          <w:iCs/>
        </w:rPr>
        <w:t>Corporations Act</w:t>
      </w:r>
      <w:r w:rsidRPr="007D6BFC">
        <w:rPr>
          <w:rFonts w:ascii="Times New Roman" w:hAnsi="Times New Roman" w:cs="Times New Roman"/>
        </w:rPr>
        <w:t xml:space="preserve">’). </w:t>
      </w:r>
    </w:p>
  </w:footnote>
  <w:footnote w:id="41">
    <w:p w14:paraId="24FB930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proofErr w:type="spellStart"/>
      <w:r w:rsidRPr="007D6BFC">
        <w:rPr>
          <w:rFonts w:ascii="Times New Roman" w:hAnsi="Times New Roman" w:cs="Times New Roman"/>
        </w:rPr>
        <w:t>Goldbarsht</w:t>
      </w:r>
      <w:proofErr w:type="spellEnd"/>
      <w:r w:rsidRPr="007D6BFC">
        <w:rPr>
          <w:rFonts w:ascii="Times New Roman" w:hAnsi="Times New Roman" w:cs="Times New Roman"/>
        </w:rPr>
        <w:t xml:space="preserve"> (n 39) 228.</w:t>
      </w:r>
    </w:p>
  </w:footnote>
  <w:footnote w:id="42">
    <w:p w14:paraId="62437E81"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Australian Securities and Investments Commission v Bekier (Liability Judgment) </w:t>
      </w:r>
      <w:r w:rsidRPr="007D6BFC">
        <w:rPr>
          <w:rFonts w:ascii="Times New Roman" w:hAnsi="Times New Roman" w:cs="Times New Roman"/>
        </w:rPr>
        <w:t>[2026] FCA 196.</w:t>
      </w:r>
    </w:p>
  </w:footnote>
  <w:footnote w:id="43">
    <w:p w14:paraId="5258FF57"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[1944]</w:t>
      </w:r>
      <w:proofErr w:type="gramStart"/>
      <w:r w:rsidRPr="007D6BFC">
        <w:rPr>
          <w:rFonts w:ascii="Times New Roman" w:hAnsi="Times New Roman" w:cs="Times New Roman"/>
        </w:rPr>
        <w:t>-[</w:t>
      </w:r>
      <w:proofErr w:type="gramEnd"/>
      <w:r w:rsidRPr="007D6BFC">
        <w:rPr>
          <w:rFonts w:ascii="Times New Roman" w:hAnsi="Times New Roman" w:cs="Times New Roman"/>
        </w:rPr>
        <w:t xml:space="preserve">1945]; </w:t>
      </w:r>
      <w:r w:rsidRPr="007D6BFC">
        <w:rPr>
          <w:rFonts w:ascii="Times New Roman" w:hAnsi="Times New Roman" w:cs="Times New Roman"/>
          <w:i/>
          <w:iCs/>
        </w:rPr>
        <w:t xml:space="preserve">Corporations Act </w:t>
      </w:r>
      <w:r w:rsidRPr="007D6BFC">
        <w:rPr>
          <w:rFonts w:ascii="Times New Roman" w:hAnsi="Times New Roman" w:cs="Times New Roman"/>
        </w:rPr>
        <w:t xml:space="preserve">(n 40) s 180. </w:t>
      </w:r>
    </w:p>
  </w:footnote>
  <w:footnote w:id="44">
    <w:p w14:paraId="3B489CB3"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45">
    <w:p w14:paraId="6BB04EAC"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w:t>
      </w:r>
    </w:p>
  </w:footnote>
  <w:footnote w:id="46">
    <w:p w14:paraId="65C71FE8"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proofErr w:type="spellStart"/>
      <w:r w:rsidRPr="007D6BFC">
        <w:rPr>
          <w:rFonts w:ascii="Times New Roman" w:hAnsi="Times New Roman" w:cs="Times New Roman"/>
        </w:rPr>
        <w:t>Goldbarsht</w:t>
      </w:r>
      <w:proofErr w:type="spellEnd"/>
      <w:r w:rsidRPr="007D6BFC">
        <w:rPr>
          <w:rFonts w:ascii="Times New Roman" w:hAnsi="Times New Roman" w:cs="Times New Roman"/>
        </w:rPr>
        <w:t xml:space="preserve"> (n 39) 234-235.</w:t>
      </w:r>
    </w:p>
  </w:footnote>
  <w:footnote w:id="47">
    <w:p w14:paraId="231FF80D"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228.</w:t>
      </w:r>
    </w:p>
  </w:footnote>
  <w:footnote w:id="48">
    <w:p w14:paraId="1C7BCC5D" w14:textId="77777777" w:rsidR="008A14DD" w:rsidRPr="007D6BFC" w:rsidRDefault="008A14DD" w:rsidP="00381D95">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Doron </w:t>
      </w:r>
      <w:proofErr w:type="spellStart"/>
      <w:r w:rsidRPr="007D6BFC">
        <w:rPr>
          <w:rFonts w:ascii="Times New Roman" w:hAnsi="Times New Roman" w:cs="Times New Roman"/>
        </w:rPr>
        <w:t>Goldbarsht</w:t>
      </w:r>
      <w:proofErr w:type="spellEnd"/>
      <w:r w:rsidRPr="007D6BFC">
        <w:rPr>
          <w:rFonts w:ascii="Times New Roman" w:hAnsi="Times New Roman" w:cs="Times New Roman"/>
        </w:rPr>
        <w:t xml:space="preserve"> and Elizabeth Sheed, ‘Money Laundering and the Risk in the Risk- Based Approach: The Australian Context’ (2024) 50(1) </w:t>
      </w:r>
      <w:r w:rsidRPr="007D6BFC">
        <w:rPr>
          <w:rFonts w:ascii="Times New Roman" w:hAnsi="Times New Roman" w:cs="Times New Roman"/>
          <w:i/>
          <w:iCs/>
        </w:rPr>
        <w:t>Monash University Law Review</w:t>
      </w:r>
      <w:r w:rsidRPr="007D6BFC">
        <w:rPr>
          <w:rFonts w:ascii="Times New Roman" w:hAnsi="Times New Roman" w:cs="Times New Roman"/>
        </w:rPr>
        <w:t xml:space="preserve"> 31, 39-41.</w:t>
      </w:r>
    </w:p>
  </w:footnote>
  <w:footnote w:id="49">
    <w:p w14:paraId="545BC3C1"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Monique Buksh, ‘No place like laundered home — real estate under the 2024 AML/CTF spotlight’ (2025) 29(2) </w:t>
      </w:r>
      <w:r w:rsidRPr="007D6BFC">
        <w:rPr>
          <w:rFonts w:ascii="Times New Roman" w:hAnsi="Times New Roman" w:cs="Times New Roman"/>
          <w:i/>
          <w:iCs/>
        </w:rPr>
        <w:t>Inhouse Counsel</w:t>
      </w:r>
      <w:r w:rsidRPr="007D6BFC">
        <w:rPr>
          <w:rFonts w:ascii="Times New Roman" w:hAnsi="Times New Roman" w:cs="Times New Roman"/>
        </w:rPr>
        <w:t xml:space="preserve"> 27, 29. </w:t>
      </w:r>
    </w:p>
  </w:footnote>
  <w:footnote w:id="50">
    <w:p w14:paraId="5F71B740"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51">
    <w:p w14:paraId="289000EC"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52">
    <w:p w14:paraId="37801C13"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proofErr w:type="spellStart"/>
      <w:r w:rsidRPr="007D6BFC">
        <w:rPr>
          <w:rFonts w:ascii="Times New Roman" w:hAnsi="Times New Roman" w:cs="Times New Roman"/>
        </w:rPr>
        <w:t>Goldbarsht</w:t>
      </w:r>
      <w:proofErr w:type="spellEnd"/>
      <w:r w:rsidRPr="007D6BFC">
        <w:rPr>
          <w:rFonts w:ascii="Times New Roman" w:hAnsi="Times New Roman" w:cs="Times New Roman"/>
        </w:rPr>
        <w:t xml:space="preserve"> and Sheed (n 48) 34-35. </w:t>
      </w:r>
    </w:p>
  </w:footnote>
  <w:footnote w:id="53">
    <w:p w14:paraId="48C1E389"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Chaikin (n 10) 263. </w:t>
      </w:r>
    </w:p>
  </w:footnote>
  <w:footnote w:id="54">
    <w:p w14:paraId="5142E86B"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proofErr w:type="spellStart"/>
      <w:r w:rsidRPr="007D6BFC">
        <w:rPr>
          <w:rFonts w:ascii="Times New Roman" w:hAnsi="Times New Roman" w:cs="Times New Roman"/>
        </w:rPr>
        <w:t>Goldbarsht</w:t>
      </w:r>
      <w:proofErr w:type="spellEnd"/>
      <w:r w:rsidRPr="007D6BFC">
        <w:rPr>
          <w:rFonts w:ascii="Times New Roman" w:hAnsi="Times New Roman" w:cs="Times New Roman"/>
        </w:rPr>
        <w:t xml:space="preserve"> (n 39) 236-237. </w:t>
      </w:r>
    </w:p>
  </w:footnote>
  <w:footnote w:id="55">
    <w:p w14:paraId="0EDB2F0F"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237-238.</w:t>
      </w:r>
    </w:p>
  </w:footnote>
  <w:footnote w:id="56">
    <w:p w14:paraId="09A9124B"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57">
    <w:p w14:paraId="362F716F"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w:t>
      </w:r>
    </w:p>
  </w:footnote>
  <w:footnote w:id="58">
    <w:p w14:paraId="551F6CEA"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237. </w:t>
      </w:r>
    </w:p>
  </w:footnote>
  <w:footnote w:id="59">
    <w:p w14:paraId="31A232B0"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Ibid 237-238.</w:t>
      </w:r>
    </w:p>
  </w:footnote>
  <w:footnote w:id="60">
    <w:p w14:paraId="367F501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Amendment Act </w:t>
      </w:r>
      <w:r w:rsidRPr="007D6BFC">
        <w:rPr>
          <w:rFonts w:ascii="Times New Roman" w:hAnsi="Times New Roman" w:cs="Times New Roman"/>
        </w:rPr>
        <w:t>(n 2).</w:t>
      </w:r>
    </w:p>
  </w:footnote>
  <w:footnote w:id="61">
    <w:p w14:paraId="4D2F9CFA"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Amendment Act </w:t>
      </w:r>
      <w:r w:rsidRPr="007D6BFC">
        <w:rPr>
          <w:rFonts w:ascii="Times New Roman" w:hAnsi="Times New Roman" w:cs="Times New Roman"/>
        </w:rPr>
        <w:t>(n 2).</w:t>
      </w:r>
    </w:p>
  </w:footnote>
  <w:footnote w:id="62">
    <w:p w14:paraId="36A605E0"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 xml:space="preserve">AML/CTF Amendment Act </w:t>
      </w:r>
      <w:r w:rsidRPr="007D6BFC">
        <w:rPr>
          <w:rFonts w:ascii="Times New Roman" w:hAnsi="Times New Roman" w:cs="Times New Roman"/>
        </w:rPr>
        <w:t>(n 2).</w:t>
      </w:r>
    </w:p>
  </w:footnote>
  <w:footnote w:id="63">
    <w:p w14:paraId="1A3C4129"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Juliana Warner, ‘Anti-money Laundering and Counter Terrorism Legislation: Tranche 2 entities’ (2025) 273 </w:t>
      </w:r>
      <w:r w:rsidRPr="007D6BFC">
        <w:rPr>
          <w:rFonts w:ascii="Times New Roman" w:hAnsi="Times New Roman" w:cs="Times New Roman"/>
          <w:i/>
          <w:iCs/>
        </w:rPr>
        <w:t>Law Society of the Act Journal</w:t>
      </w:r>
      <w:r w:rsidRPr="007D6BFC">
        <w:rPr>
          <w:rFonts w:ascii="Times New Roman" w:hAnsi="Times New Roman" w:cs="Times New Roman"/>
        </w:rPr>
        <w:t xml:space="preserve"> 16, 17. </w:t>
      </w:r>
    </w:p>
  </w:footnote>
  <w:footnote w:id="64">
    <w:p w14:paraId="149C931F" w14:textId="78957E5C"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w:t>
      </w:r>
      <w:r w:rsidRPr="007D6BFC">
        <w:rPr>
          <w:rFonts w:ascii="Times New Roman" w:hAnsi="Times New Roman" w:cs="Times New Roman"/>
          <w:i/>
          <w:iCs/>
        </w:rPr>
        <w:t>AML/CTF Act</w:t>
      </w:r>
      <w:r w:rsidRPr="007D6BFC">
        <w:rPr>
          <w:rFonts w:ascii="Times New Roman" w:hAnsi="Times New Roman" w:cs="Times New Roman"/>
        </w:rPr>
        <w:t xml:space="preserve"> (n 3) s 6; Chaikin (n 10) 277. </w:t>
      </w:r>
    </w:p>
  </w:footnote>
  <w:footnote w:id="65">
    <w:p w14:paraId="55C4BBD7"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Australian Transaction Reports and Analysis Centre (n 19). </w:t>
      </w:r>
    </w:p>
  </w:footnote>
  <w:footnote w:id="66">
    <w:p w14:paraId="77670E0E"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A</w:t>
      </w:r>
      <w:r w:rsidRPr="007D6BFC">
        <w:rPr>
          <w:rFonts w:ascii="Times New Roman" w:hAnsi="Times New Roman" w:cs="Times New Roman"/>
          <w:i/>
          <w:iCs/>
        </w:rPr>
        <w:t xml:space="preserve">ML/CTF Amendment Act </w:t>
      </w:r>
      <w:r w:rsidRPr="007D6BFC">
        <w:rPr>
          <w:rFonts w:ascii="Times New Roman" w:hAnsi="Times New Roman" w:cs="Times New Roman"/>
        </w:rPr>
        <w:t>(n 2).</w:t>
      </w:r>
    </w:p>
  </w:footnote>
  <w:footnote w:id="67">
    <w:p w14:paraId="47931EF4"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A</w:t>
      </w:r>
      <w:r w:rsidRPr="007D6BFC">
        <w:rPr>
          <w:rFonts w:ascii="Times New Roman" w:hAnsi="Times New Roman" w:cs="Times New Roman"/>
          <w:i/>
          <w:iCs/>
        </w:rPr>
        <w:t xml:space="preserve">ML/CTF Amendment Act </w:t>
      </w:r>
      <w:r w:rsidRPr="007D6BFC">
        <w:rPr>
          <w:rFonts w:ascii="Times New Roman" w:hAnsi="Times New Roman" w:cs="Times New Roman"/>
        </w:rPr>
        <w:t>(n 2).</w:t>
      </w:r>
    </w:p>
  </w:footnote>
  <w:footnote w:id="68">
    <w:p w14:paraId="721757D2" w14:textId="77777777" w:rsidR="008A14DD" w:rsidRPr="007D6BFC" w:rsidRDefault="008A14DD">
      <w:pPr>
        <w:pStyle w:val="FootnoteText"/>
        <w:rPr>
          <w:rFonts w:ascii="Times New Roman" w:hAnsi="Times New Roman" w:cs="Times New Roman"/>
        </w:rPr>
      </w:pPr>
      <w:r w:rsidRPr="007D6BFC">
        <w:rPr>
          <w:rStyle w:val="FootnoteReference"/>
          <w:rFonts w:ascii="Times New Roman" w:hAnsi="Times New Roman" w:cs="Times New Roman"/>
        </w:rPr>
        <w:footnoteRef/>
      </w:r>
      <w:r w:rsidRPr="007D6BFC">
        <w:rPr>
          <w:rFonts w:ascii="Times New Roman" w:hAnsi="Times New Roman" w:cs="Times New Roman"/>
        </w:rPr>
        <w:t xml:space="preserve"> Yang (n 11) 47.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35A69"/>
    <w:rsid w:val="0007301A"/>
    <w:rsid w:val="0008172E"/>
    <w:rsid w:val="000A4193"/>
    <w:rsid w:val="000A77AE"/>
    <w:rsid w:val="000A7F76"/>
    <w:rsid w:val="000B2023"/>
    <w:rsid w:val="000C0FDE"/>
    <w:rsid w:val="000D128E"/>
    <w:rsid w:val="000F108B"/>
    <w:rsid w:val="00111C95"/>
    <w:rsid w:val="00134090"/>
    <w:rsid w:val="00137E3E"/>
    <w:rsid w:val="00147DC9"/>
    <w:rsid w:val="001570A2"/>
    <w:rsid w:val="00160A19"/>
    <w:rsid w:val="00166E10"/>
    <w:rsid w:val="00167B99"/>
    <w:rsid w:val="00175486"/>
    <w:rsid w:val="001A3BD0"/>
    <w:rsid w:val="001B7DFD"/>
    <w:rsid w:val="001C6A9D"/>
    <w:rsid w:val="001F059D"/>
    <w:rsid w:val="001F21E4"/>
    <w:rsid w:val="001F7F8C"/>
    <w:rsid w:val="00201867"/>
    <w:rsid w:val="0021596B"/>
    <w:rsid w:val="00220042"/>
    <w:rsid w:val="0023078B"/>
    <w:rsid w:val="00235853"/>
    <w:rsid w:val="00240E95"/>
    <w:rsid w:val="00262BED"/>
    <w:rsid w:val="0027444B"/>
    <w:rsid w:val="00276435"/>
    <w:rsid w:val="00285268"/>
    <w:rsid w:val="00294CA4"/>
    <w:rsid w:val="002D6AA4"/>
    <w:rsid w:val="002F23C0"/>
    <w:rsid w:val="00300E0C"/>
    <w:rsid w:val="0032017D"/>
    <w:rsid w:val="00334ADB"/>
    <w:rsid w:val="00341B1E"/>
    <w:rsid w:val="00344A17"/>
    <w:rsid w:val="00356093"/>
    <w:rsid w:val="003A02E1"/>
    <w:rsid w:val="003A1CFB"/>
    <w:rsid w:val="003A378D"/>
    <w:rsid w:val="003B7C76"/>
    <w:rsid w:val="003C2E5F"/>
    <w:rsid w:val="003E43B4"/>
    <w:rsid w:val="003E7BC4"/>
    <w:rsid w:val="00404131"/>
    <w:rsid w:val="00405FCE"/>
    <w:rsid w:val="004428B7"/>
    <w:rsid w:val="00454AE5"/>
    <w:rsid w:val="0046317F"/>
    <w:rsid w:val="00464656"/>
    <w:rsid w:val="0046610A"/>
    <w:rsid w:val="00480B5D"/>
    <w:rsid w:val="00482078"/>
    <w:rsid w:val="00483774"/>
    <w:rsid w:val="00483FDC"/>
    <w:rsid w:val="004D2AC4"/>
    <w:rsid w:val="004D4240"/>
    <w:rsid w:val="004E3D64"/>
    <w:rsid w:val="004E66C5"/>
    <w:rsid w:val="004F4891"/>
    <w:rsid w:val="004F7D23"/>
    <w:rsid w:val="00531BB6"/>
    <w:rsid w:val="00553DD0"/>
    <w:rsid w:val="00564DFA"/>
    <w:rsid w:val="00571DCD"/>
    <w:rsid w:val="00580005"/>
    <w:rsid w:val="00580B86"/>
    <w:rsid w:val="0058507A"/>
    <w:rsid w:val="00596E11"/>
    <w:rsid w:val="005A2FB7"/>
    <w:rsid w:val="005A6F4D"/>
    <w:rsid w:val="005D092F"/>
    <w:rsid w:val="005D75E9"/>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80A4F"/>
    <w:rsid w:val="00893441"/>
    <w:rsid w:val="008A14DD"/>
    <w:rsid w:val="008A391C"/>
    <w:rsid w:val="008B0CF6"/>
    <w:rsid w:val="008B7194"/>
    <w:rsid w:val="008B7902"/>
    <w:rsid w:val="008F57CF"/>
    <w:rsid w:val="008F7DCA"/>
    <w:rsid w:val="009035F2"/>
    <w:rsid w:val="009142C9"/>
    <w:rsid w:val="00924A66"/>
    <w:rsid w:val="00930211"/>
    <w:rsid w:val="0093046D"/>
    <w:rsid w:val="009449D2"/>
    <w:rsid w:val="00944B71"/>
    <w:rsid w:val="009470FA"/>
    <w:rsid w:val="0095632F"/>
    <w:rsid w:val="00962EBB"/>
    <w:rsid w:val="00980E73"/>
    <w:rsid w:val="009929D2"/>
    <w:rsid w:val="00997C34"/>
    <w:rsid w:val="009B7307"/>
    <w:rsid w:val="009C531C"/>
    <w:rsid w:val="009D06C6"/>
    <w:rsid w:val="009D4D63"/>
    <w:rsid w:val="009E1A7D"/>
    <w:rsid w:val="00A01517"/>
    <w:rsid w:val="00A03A12"/>
    <w:rsid w:val="00A0638E"/>
    <w:rsid w:val="00A502FB"/>
    <w:rsid w:val="00A540EA"/>
    <w:rsid w:val="00A830C0"/>
    <w:rsid w:val="00A97FC9"/>
    <w:rsid w:val="00AA3760"/>
    <w:rsid w:val="00AA67FB"/>
    <w:rsid w:val="00AD2504"/>
    <w:rsid w:val="00B02D14"/>
    <w:rsid w:val="00B1466D"/>
    <w:rsid w:val="00B15DDE"/>
    <w:rsid w:val="00B33213"/>
    <w:rsid w:val="00B46C49"/>
    <w:rsid w:val="00B81F43"/>
    <w:rsid w:val="00B832BA"/>
    <w:rsid w:val="00B868C3"/>
    <w:rsid w:val="00B97C02"/>
    <w:rsid w:val="00BA00F7"/>
    <w:rsid w:val="00BB66EB"/>
    <w:rsid w:val="00BC443F"/>
    <w:rsid w:val="00BC6547"/>
    <w:rsid w:val="00BD62C4"/>
    <w:rsid w:val="00BE5553"/>
    <w:rsid w:val="00C00C1E"/>
    <w:rsid w:val="00C41993"/>
    <w:rsid w:val="00C63EA7"/>
    <w:rsid w:val="00C65049"/>
    <w:rsid w:val="00C8782D"/>
    <w:rsid w:val="00C94C21"/>
    <w:rsid w:val="00CB7B0F"/>
    <w:rsid w:val="00CE2659"/>
    <w:rsid w:val="00CE4141"/>
    <w:rsid w:val="00D1061C"/>
    <w:rsid w:val="00D30760"/>
    <w:rsid w:val="00D5782C"/>
    <w:rsid w:val="00D67988"/>
    <w:rsid w:val="00D74462"/>
    <w:rsid w:val="00D75D0F"/>
    <w:rsid w:val="00D774EF"/>
    <w:rsid w:val="00D94C07"/>
    <w:rsid w:val="00DC1F28"/>
    <w:rsid w:val="00DE365C"/>
    <w:rsid w:val="00DE7698"/>
    <w:rsid w:val="00DF314C"/>
    <w:rsid w:val="00DF64A2"/>
    <w:rsid w:val="00E00CF1"/>
    <w:rsid w:val="00E0232C"/>
    <w:rsid w:val="00E030D6"/>
    <w:rsid w:val="00E160C6"/>
    <w:rsid w:val="00E179B4"/>
    <w:rsid w:val="00E222D6"/>
    <w:rsid w:val="00E23ACE"/>
    <w:rsid w:val="00E35F81"/>
    <w:rsid w:val="00E44335"/>
    <w:rsid w:val="00E45958"/>
    <w:rsid w:val="00E6116E"/>
    <w:rsid w:val="00E6236F"/>
    <w:rsid w:val="00E660C7"/>
    <w:rsid w:val="00E9303C"/>
    <w:rsid w:val="00E95486"/>
    <w:rsid w:val="00EC40F3"/>
    <w:rsid w:val="00EF6D7D"/>
    <w:rsid w:val="00EF7F99"/>
    <w:rsid w:val="00F05EA0"/>
    <w:rsid w:val="00F10638"/>
    <w:rsid w:val="00F1081F"/>
    <w:rsid w:val="00F15FF2"/>
    <w:rsid w:val="00F166DC"/>
    <w:rsid w:val="00F22977"/>
    <w:rsid w:val="00F3602A"/>
    <w:rsid w:val="00F52A96"/>
    <w:rsid w:val="00F6794E"/>
    <w:rsid w:val="00F73151"/>
    <w:rsid w:val="00F74AD5"/>
    <w:rsid w:val="00F76D99"/>
    <w:rsid w:val="00F772BB"/>
    <w:rsid w:val="00F81255"/>
    <w:rsid w:val="00F81AF5"/>
    <w:rsid w:val="00F84D64"/>
    <w:rsid w:val="00F972AD"/>
    <w:rsid w:val="00FA4988"/>
    <w:rsid w:val="00FA4E12"/>
    <w:rsid w:val="00FB2581"/>
    <w:rsid w:val="00FB5B18"/>
    <w:rsid w:val="00FD42E0"/>
    <w:rsid w:val="00FD48FC"/>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 w:type="paragraph" w:styleId="FootnoteText">
    <w:name w:val="footnote text"/>
    <w:basedOn w:val="Normal"/>
    <w:link w:val="FootnoteTextChar"/>
    <w:uiPriority w:val="99"/>
    <w:unhideWhenUsed/>
    <w:rsid w:val="008A14DD"/>
    <w:pPr>
      <w:spacing w:after="0" w:line="240" w:lineRule="auto"/>
    </w:pPr>
    <w:rPr>
      <w:rFonts w:ascii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rsid w:val="008A14DD"/>
    <w:rPr>
      <w:kern w:val="2"/>
      <w:sz w:val="20"/>
      <w:szCs w:val="20"/>
      <w14:ligatures w14:val="standardContextual"/>
    </w:rPr>
  </w:style>
  <w:style w:type="character" w:styleId="FootnoteReference">
    <w:name w:val="footnote reference"/>
    <w:basedOn w:val="DefaultParagraphFont"/>
    <w:uiPriority w:val="99"/>
    <w:semiHidden/>
    <w:unhideWhenUsed/>
    <w:rsid w:val="008A14DD"/>
    <w:rPr>
      <w:vertAlign w:val="superscript"/>
    </w:rPr>
  </w:style>
  <w:style w:type="character" w:styleId="Hyperlink">
    <w:name w:val="Hyperlink"/>
    <w:basedOn w:val="DefaultParagraphFont"/>
    <w:uiPriority w:val="99"/>
    <w:unhideWhenUsed/>
    <w:rsid w:val="008A14D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ww.austrac.gov.au/industry-and-business/obligations-and-guidance/program-starter-k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2062</Words>
  <Characters>11754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3</cp:revision>
  <dcterms:created xsi:type="dcterms:W3CDTF">2026-07-13T11:33:00Z</dcterms:created>
  <dcterms:modified xsi:type="dcterms:W3CDTF">2026-08-15T09:14:00Z</dcterms:modified>
</cp:coreProperties>
</file>