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Sales to onboarding handoff</w:t>
      </w:r>
    </w:p>
    <w:p>
      <w:pPr>
        <w:spacing w:after="200"/>
      </w:pPr>
      <w:r>
        <w:rPr>
          <w:color w:val="535353"/>
          <w:sz w:val="20"/>
        </w:rPr>
        <w:t>Techmark Journal   Alvar Rodríguez   Reusable template and constructed example</w:t>
      </w:r>
    </w:p>
    <w:p>
      <w:r>
        <w:t>Give delivery the commitments, people, and dependencies needed to identify the next action. Complete the handoff from the approved scope and ask the delivery owner to accept it before kickoff.</w:t>
      </w:r>
    </w:p>
    <w:p>
      <w:pPr>
        <w:pStyle w:val="Heading1"/>
      </w:pPr>
      <w:r>
        <w:t>Engagement</w:t>
      </w:r>
    </w:p>
    <w:p>
      <w:r>
        <w:rPr>
          <w:b/>
        </w:rPr>
        <w:t xml:space="preserve">Client and engagement ID  </w:t>
      </w:r>
      <w:r>
        <w:t>[Enter here]</w:t>
      </w:r>
    </w:p>
    <w:p>
      <w:r>
        <w:rPr>
          <w:b/>
        </w:rPr>
        <w:t xml:space="preserve">Approved scope reference and version  </w:t>
      </w:r>
      <w:r>
        <w:t>[Enter here]</w:t>
      </w:r>
    </w:p>
    <w:p>
      <w:r>
        <w:rPr>
          <w:b/>
        </w:rPr>
        <w:t xml:space="preserve">Service and client outcome  </w:t>
      </w:r>
      <w:r>
        <w:t>[Enter here]</w:t>
      </w:r>
    </w:p>
    <w:p>
      <w:pPr>
        <w:pStyle w:val="Heading1"/>
      </w:pPr>
      <w:r>
        <w:t>Commitments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4032"/>
        <w:gridCol w:w="3816"/>
      </w:tblGrid>
      <w:tr>
        <w:trPr>
          <w:cantSplit/>
          <w:tblHeader w:val="true"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Deliverable</w:t>
            </w:r>
          </w:p>
        </w:tc>
        <w:tc>
          <w:tcPr>
            <w:tcW w:type="dxa" w:w="40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Quantity and acceptance standard</w:t>
            </w:r>
          </w:p>
        </w:tc>
        <w:tc>
          <w:tcPr>
            <w:tcW w:type="dxa" w:w="38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Date and dependency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[Deliverable]</w:t>
            </w:r>
          </w:p>
        </w:tc>
        <w:tc>
          <w:tcPr>
            <w:tcW w:type="dxa" w:w="40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[Quantity and agreed standard]</w:t>
            </w:r>
          </w:p>
        </w:tc>
        <w:tc>
          <w:tcPr>
            <w:tcW w:type="dxa" w:w="38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[Date or condition]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[Deliverable]</w:t>
            </w:r>
          </w:p>
        </w:tc>
        <w:tc>
          <w:tcPr>
            <w:tcW w:type="dxa" w:w="40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[Quantity and agreed standard]</w:t>
            </w:r>
          </w:p>
        </w:tc>
        <w:tc>
          <w:tcPr>
            <w:tcW w:type="dxa" w:w="38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[Date or condition]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[Deliverable]</w:t>
            </w:r>
          </w:p>
        </w:tc>
        <w:tc>
          <w:tcPr>
            <w:tcW w:type="dxa" w:w="40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[Quantity and agreed standard]</w:t>
            </w:r>
          </w:p>
        </w:tc>
        <w:tc>
          <w:tcPr>
            <w:tcW w:type="dxa" w:w="38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[Date or condition]</w:t>
            </w:r>
          </w:p>
        </w:tc>
      </w:tr>
    </w:tbl>
    <w:p>
      <w:pPr>
        <w:spacing w:after="20"/>
      </w:pPr>
    </w:p>
    <w:p>
      <w:r>
        <w:rPr>
          <w:b/>
        </w:rPr>
        <w:t xml:space="preserve">Scope exclusions  </w:t>
      </w:r>
      <w:r>
        <w:t>[Record the agreed boundaries]</w:t>
      </w:r>
    </w:p>
    <w:p>
      <w:pPr>
        <w:pStyle w:val="Heading1"/>
      </w:pPr>
      <w:r>
        <w:t>People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3816"/>
        <w:gridCol w:w="4248"/>
      </w:tblGrid>
      <w:tr>
        <w:trPr>
          <w:cantSplit/>
          <w:tblHeader w:val="true"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Role</w:t>
            </w:r>
          </w:p>
        </w:tc>
        <w:tc>
          <w:tcPr>
            <w:tcW w:type="dxa" w:w="38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Person and contact</w:t>
            </w:r>
          </w:p>
        </w:tc>
        <w:tc>
          <w:tcPr>
            <w:tcW w:type="dxa" w:w="424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Responsibility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Client approver</w:t>
            </w:r>
          </w:p>
        </w:tc>
        <w:tc>
          <w:tcPr>
            <w:tcW w:type="dxa" w:w="38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[Name and contact]</w:t>
            </w:r>
          </w:p>
        </w:tc>
        <w:tc>
          <w:tcPr>
            <w:tcW w:type="dxa" w:w="424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[What this person may approve]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Delivery owner</w:t>
            </w:r>
          </w:p>
        </w:tc>
        <w:tc>
          <w:tcPr>
            <w:tcW w:type="dxa" w:w="38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[Name and contact]</w:t>
            </w:r>
          </w:p>
        </w:tc>
        <w:tc>
          <w:tcPr>
            <w:tcW w:type="dxa" w:w="424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Accept handoff and plan ready work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Account or sales owner</w:t>
            </w:r>
          </w:p>
        </w:tc>
        <w:tc>
          <w:tcPr>
            <w:tcW w:type="dxa" w:w="38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[Name and contact]</w:t>
            </w:r>
          </w:p>
        </w:tc>
        <w:tc>
          <w:tcPr>
            <w:tcW w:type="dxa" w:w="424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Confirm commitments and collect missing context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Title"/>
      </w:pPr>
      <w:r>
        <w:t>Inputs and readiness</w:t>
      </w:r>
    </w:p>
    <w:p>
      <w:pPr>
        <w:spacing w:after="200"/>
      </w:pPr>
      <w:r>
        <w:rPr>
          <w:color w:val="535353"/>
          <w:sz w:val="20"/>
        </w:rPr>
        <w:t>Reusable template continued</w:t>
      </w:r>
    </w:p>
    <w:p>
      <w:r>
        <w:t>Record what is still missing. Attach conditions to affected dates so a target is not mistaken for a commitment.</w:t>
      </w:r>
    </w:p>
    <w:p>
      <w:pPr>
        <w:pStyle w:val="Heading1"/>
      </w:pPr>
      <w:r>
        <w:t>Required inputs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2304"/>
        <w:gridCol w:w="2232"/>
        <w:gridCol w:w="3384"/>
      </w:tblGrid>
      <w:tr>
        <w:trPr>
          <w:cantSplit/>
          <w:tblHeader w:val="true"/>
        </w:trPr>
        <w:tc>
          <w:tcPr>
            <w:tcW w:type="dxa" w:w="230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Input</w:t>
            </w:r>
          </w:p>
        </w:tc>
        <w:tc>
          <w:tcPr>
            <w:tcW w:type="dxa" w:w="230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Supplier or owner</w:t>
            </w:r>
          </w:p>
        </w:tc>
        <w:tc>
          <w:tcPr>
            <w:tcW w:type="dxa" w:w="22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Needed by</w:t>
            </w:r>
          </w:p>
        </w:tc>
        <w:tc>
          <w:tcPr>
            <w:tcW w:type="dxa" w:w="338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Acceptance check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[Input]</w:t>
            </w:r>
          </w:p>
        </w:tc>
        <w:tc>
          <w:tcPr>
            <w:tcW w:type="dxa" w:w="230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[Person]</w:t>
            </w:r>
          </w:p>
        </w:tc>
        <w:tc>
          <w:tcPr>
            <w:tcW w:type="dxa" w:w="22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[Date and timezone]</w:t>
            </w:r>
          </w:p>
        </w:tc>
        <w:tc>
          <w:tcPr>
            <w:tcW w:type="dxa" w:w="338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[Who checks what]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[Input]</w:t>
            </w:r>
          </w:p>
        </w:tc>
        <w:tc>
          <w:tcPr>
            <w:tcW w:type="dxa" w:w="230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[Person]</w:t>
            </w:r>
          </w:p>
        </w:tc>
        <w:tc>
          <w:tcPr>
            <w:tcW w:type="dxa" w:w="22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[Date and timezone]</w:t>
            </w:r>
          </w:p>
        </w:tc>
        <w:tc>
          <w:tcPr>
            <w:tcW w:type="dxa" w:w="338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[Who checks what]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[Input]</w:t>
            </w:r>
          </w:p>
        </w:tc>
        <w:tc>
          <w:tcPr>
            <w:tcW w:type="dxa" w:w="230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[Person]</w:t>
            </w:r>
          </w:p>
        </w:tc>
        <w:tc>
          <w:tcPr>
            <w:tcW w:type="dxa" w:w="22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[Date and timezone]</w:t>
            </w:r>
          </w:p>
        </w:tc>
        <w:tc>
          <w:tcPr>
            <w:tcW w:type="dxa" w:w="338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[Who checks what]</w:t>
            </w:r>
          </w:p>
        </w:tc>
      </w:tr>
    </w:tbl>
    <w:p>
      <w:pPr>
        <w:spacing w:after="20"/>
      </w:pPr>
    </w:p>
    <w:p>
      <w:pPr>
        <w:pStyle w:val="Heading1"/>
      </w:pPr>
      <w:r>
        <w:t>Open decisions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2592"/>
        <w:gridCol w:w="2592"/>
      </w:tblGrid>
      <w:tr>
        <w:trPr>
          <w:cantSplit/>
          <w:tblHeader w:val="true"/>
        </w:trPr>
        <w:tc>
          <w:tcPr>
            <w:tcW w:type="dxa" w:w="504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Question or missing commitment</w:t>
            </w:r>
          </w:p>
        </w:tc>
        <w:tc>
          <w:tcPr>
            <w:tcW w:type="dxa" w:w="259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Decision owner</w:t>
            </w:r>
          </w:p>
        </w:tc>
        <w:tc>
          <w:tcPr>
            <w:tcW w:type="dxa" w:w="259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Needed by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[Question and effect on the plan]</w:t>
            </w:r>
          </w:p>
        </w:tc>
        <w:tc>
          <w:tcPr>
            <w:tcW w:type="dxa" w:w="259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[Person]</w:t>
            </w:r>
          </w:p>
        </w:tc>
        <w:tc>
          <w:tcPr>
            <w:tcW w:type="dxa" w:w="259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[Date and timezone]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[Question and effect on the plan]</w:t>
            </w:r>
          </w:p>
        </w:tc>
        <w:tc>
          <w:tcPr>
            <w:tcW w:type="dxa" w:w="259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[Person]</w:t>
            </w:r>
          </w:p>
        </w:tc>
        <w:tc>
          <w:tcPr>
            <w:tcW w:type="dxa" w:w="259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[Date and timezone]</w:t>
            </w:r>
          </w:p>
        </w:tc>
      </w:tr>
    </w:tbl>
    <w:p>
      <w:pPr>
        <w:spacing w:after="20"/>
      </w:pPr>
    </w:p>
    <w:p>
      <w:pPr>
        <w:pStyle w:val="Heading1"/>
      </w:pPr>
      <w:r>
        <w:t>Next action</w:t>
      </w:r>
    </w:p>
    <w:p>
      <w:r>
        <w:rPr>
          <w:b/>
        </w:rPr>
        <w:t xml:space="preserve">Action and responsible person  </w:t>
      </w:r>
      <w:r>
        <w:t>[Enter here]</w:t>
      </w:r>
    </w:p>
    <w:p>
      <w:r>
        <w:rPr>
          <w:b/>
        </w:rPr>
        <w:t xml:space="preserve">Due date and timezone  </w:t>
      </w:r>
      <w:r>
        <w:t>[Enter here]</w:t>
      </w:r>
    </w:p>
    <w:p>
      <w:r>
        <w:rPr>
          <w:b/>
        </w:rPr>
        <w:t xml:space="preserve">Affected dates if an input is late  </w:t>
      </w:r>
      <w:r>
        <w:t>[Enter here]</w:t>
      </w:r>
    </w:p>
    <w:p>
      <w:pPr>
        <w:pStyle w:val="Heading1"/>
      </w:pPr>
      <w:r>
        <w:t>Delivery acceptance</w:t>
      </w:r>
    </w:p>
    <w:p>
      <w:r>
        <w:t>Confirm that delivery can identify the approved work, client approver, dependencies, and next action. Unresolved items stay visible with owners and dates.</w:t>
      </w:r>
    </w:p>
    <w:p>
      <w:r>
        <w:rPr>
          <w:b/>
        </w:rPr>
        <w:t xml:space="preserve">Readiness  </w:t>
      </w:r>
      <w:r>
        <w:t>[Ready / Ready for preparation only / Needs clarification]</w:t>
      </w:r>
    </w:p>
    <w:p>
      <w:r>
        <w:rPr>
          <w:b/>
        </w:rPr>
        <w:t xml:space="preserve">Accepted by and date  </w:t>
      </w:r>
      <w:r>
        <w:t>[Enter here]</w:t>
      </w:r>
    </w:p>
    <w:p>
      <w:r>
        <w:rPr>
          <w:b/>
        </w:rPr>
        <w:t xml:space="preserve">Acceptance note  </w:t>
      </w:r>
      <w:r>
        <w:t>[Name any remaining condition or question]</w:t>
      </w:r>
    </w:p>
    <w:p>
      <w:r>
        <w:br w:type="page"/>
      </w:r>
    </w:p>
    <w:p>
      <w:pPr>
        <w:pStyle w:val="Title"/>
      </w:pPr>
      <w:r>
        <w:t>Completed handoff example</w:t>
      </w:r>
    </w:p>
    <w:p>
      <w:pPr>
        <w:spacing w:after="200"/>
      </w:pPr>
      <w:r>
        <w:rPr>
          <w:color w:val="535353"/>
          <w:sz w:val="20"/>
        </w:rPr>
        <w:t>Constructed scenario   All names terms and dates are illustrative</w:t>
      </w:r>
    </w:p>
    <w:p>
      <w:r>
        <w:t>The initial sales note was “Eight videos a month. Kickoff October 19. First batch October 26. Client will send assets.” The completed handoff adds the conditions delivery needs.</w:t>
      </w:r>
    </w:p>
    <w:p>
      <w:pPr>
        <w:pStyle w:val="Heading1"/>
      </w:pPr>
      <w:r>
        <w:t>Engagement</w:t>
      </w:r>
    </w:p>
    <w:p>
      <w:r>
        <w:rPr>
          <w:b/>
        </w:rPr>
        <w:t xml:space="preserve">Client and engagement ID  </w:t>
      </w:r>
      <w:r>
        <w:t>Harbor Studio   DEMO-HO-01</w:t>
      </w:r>
    </w:p>
    <w:p>
      <w:r>
        <w:rPr>
          <w:b/>
        </w:rPr>
        <w:t xml:space="preserve">Approved scope  </w:t>
      </w:r>
      <w:r>
        <w:t>DEMO-SCOPE-01 version 1   Illustrative approved scope reference</w:t>
      </w:r>
    </w:p>
    <w:p>
      <w:r>
        <w:rPr>
          <w:b/>
        </w:rPr>
        <w:t xml:space="preserve">Service and client outcome  </w:t>
      </w:r>
      <w:r>
        <w:t>Recurring content production for the client’s social channels</w:t>
      </w:r>
    </w:p>
    <w:p>
      <w:pPr>
        <w:pStyle w:val="Heading1"/>
      </w:pPr>
      <w:r>
        <w:t>Commitments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4032"/>
        <w:gridCol w:w="3816"/>
      </w:tblGrid>
      <w:tr>
        <w:trPr>
          <w:cantSplit/>
          <w:tblHeader w:val="true"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Deliverable</w:t>
            </w:r>
          </w:p>
        </w:tc>
        <w:tc>
          <w:tcPr>
            <w:tcW w:type="dxa" w:w="40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Quantity and acceptance standard</w:t>
            </w:r>
          </w:p>
        </w:tc>
        <w:tc>
          <w:tcPr>
            <w:tcW w:type="dxa" w:w="38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Date and dependency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Monthly videos</w:t>
            </w:r>
          </w:p>
        </w:tc>
        <w:tc>
          <w:tcPr>
            <w:tcW w:type="dxa" w:w="40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Eight edited vertical videos, each 30–60 seconds</w:t>
            </w:r>
          </w:p>
        </w:tc>
        <w:tc>
          <w:tcPr>
            <w:tcW w:type="dxa" w:w="38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Monthly sequence agreed in DEMO-SCOPE-01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First draft batch</w:t>
            </w:r>
          </w:p>
        </w:tc>
        <w:tc>
          <w:tcPr>
            <w:tcW w:type="dxa" w:w="40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Four drafts for client review</w:t>
            </w:r>
          </w:p>
        </w:tc>
        <w:tc>
          <w:tcPr>
            <w:tcW w:type="dxa" w:w="38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Target October 26, 2026 if required inputs arrive by October 20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Revisions</w:t>
            </w:r>
          </w:p>
        </w:tc>
        <w:tc>
          <w:tcPr>
            <w:tcW w:type="dxa" w:w="40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One consolidated revision round per video</w:t>
            </w:r>
          </w:p>
        </w:tc>
        <w:tc>
          <w:tcPr>
            <w:tcW w:type="dxa" w:w="38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Client approver returns one consolidated response</w:t>
            </w:r>
          </w:p>
        </w:tc>
      </w:tr>
    </w:tbl>
    <w:p>
      <w:pPr>
        <w:spacing w:after="20"/>
      </w:pPr>
    </w:p>
    <w:p>
      <w:r>
        <w:rPr>
          <w:b/>
        </w:rPr>
        <w:t xml:space="preserve">Scope exclusions  </w:t>
      </w:r>
      <w:r>
        <w:t>Filming and paid media management require separate scope.</w:t>
      </w:r>
    </w:p>
    <w:p>
      <w:r>
        <w:rPr>
          <w:b/>
        </w:rPr>
        <w:t xml:space="preserve">Kickoff  </w:t>
      </w:r>
      <w:r>
        <w:t>October 19, 2026 at 10 a.m. Eastern Time. Planning may proceed; production still needs the inputs.</w:t>
      </w:r>
    </w:p>
    <w:p>
      <w:pPr>
        <w:pStyle w:val="Heading1"/>
      </w:pPr>
      <w:r>
        <w:t>People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304"/>
        <w:gridCol w:w="5760"/>
      </w:tblGrid>
      <w:tr>
        <w:trPr>
          <w:cantSplit/>
          <w:tblHeader w:val="true"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Role</w:t>
            </w:r>
          </w:p>
        </w:tc>
        <w:tc>
          <w:tcPr>
            <w:tcW w:type="dxa" w:w="230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Person</w:t>
            </w:r>
          </w:p>
        </w:tc>
        <w:tc>
          <w:tcPr>
            <w:tcW w:type="dxa" w:w="57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Responsibility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Client approver</w:t>
            </w:r>
          </w:p>
        </w:tc>
        <w:tc>
          <w:tcPr>
            <w:tcW w:type="dxa" w:w="230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Casey Morgan</w:t>
            </w:r>
          </w:p>
        </w:tc>
        <w:tc>
          <w:tcPr>
            <w:tcW w:type="dxa" w:w="57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Approves scripts and final edits; supplies required assets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Delivery owner</w:t>
            </w:r>
          </w:p>
        </w:tc>
        <w:tc>
          <w:tcPr>
            <w:tcW w:type="dxa" w:w="230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Maya Chen</w:t>
            </w:r>
          </w:p>
        </w:tc>
        <w:tc>
          <w:tcPr>
            <w:tcW w:type="dxa" w:w="57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Accepts handoff and plans work against the approved scope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Account manager</w:t>
            </w:r>
          </w:p>
        </w:tc>
        <w:tc>
          <w:tcPr>
            <w:tcW w:type="dxa" w:w="2304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Eli Brooks</w:t>
            </w:r>
          </w:p>
        </w:tc>
        <w:tc>
          <w:tcPr>
            <w:tcW w:type="dxa" w:w="57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Requests inputs, confirms receipt, and communicates date changes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Title"/>
      </w:pPr>
      <w:r>
        <w:t>Example inputs and acceptance</w:t>
      </w:r>
    </w:p>
    <w:p>
      <w:pPr>
        <w:spacing w:after="200"/>
      </w:pPr>
      <w:r>
        <w:rPr>
          <w:color w:val="535353"/>
          <w:sz w:val="20"/>
        </w:rPr>
        <w:t>Completed handoff example continued</w:t>
      </w:r>
    </w:p>
    <w:p>
      <w:pPr>
        <w:pStyle w:val="Heading1"/>
      </w:pPr>
      <w:r>
        <w:t>Required inputs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016"/>
        <w:gridCol w:w="2448"/>
        <w:gridCol w:w="3600"/>
      </w:tblGrid>
      <w:tr>
        <w:trPr>
          <w:cantSplit/>
          <w:tblHeader w:val="true"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Input</w:t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Supplier</w:t>
            </w:r>
          </w:p>
        </w:tc>
        <w:tc>
          <w:tcPr>
            <w:tcW w:type="dxa" w:w="244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Needed by</w:t>
            </w:r>
          </w:p>
        </w:tc>
        <w:tc>
          <w:tcPr>
            <w:tcW w:type="dxa" w:w="360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4F6"/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/>
                <w:sz w:val="21"/>
              </w:rPr>
              <w:t>Acceptance check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Source footage</w:t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Casey Morgan</w:t>
            </w:r>
          </w:p>
        </w:tc>
        <w:tc>
          <w:tcPr>
            <w:tcW w:type="dxa" w:w="244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October 20, 2026, noon ET</w:t>
            </w:r>
          </w:p>
        </w:tc>
        <w:tc>
          <w:tcPr>
            <w:tcW w:type="dxa" w:w="360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Eli checks files open and required footage is present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Brand guide</w:t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Casey Morgan</w:t>
            </w:r>
          </w:p>
        </w:tc>
        <w:tc>
          <w:tcPr>
            <w:tcW w:type="dxa" w:w="244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October 20, 2026, noon ET</w:t>
            </w:r>
          </w:p>
        </w:tc>
        <w:tc>
          <w:tcPr>
            <w:tcW w:type="dxa" w:w="360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Eli confirms current guide and usable brand assets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Asset permissions</w:t>
            </w:r>
          </w:p>
        </w:tc>
        <w:tc>
          <w:tcPr>
            <w:tcW w:type="dxa" w:w="2016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Casey Morgan</w:t>
            </w:r>
          </w:p>
        </w:tc>
        <w:tc>
          <w:tcPr>
            <w:tcW w:type="dxa" w:w="244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October 20, 2026, noon ET</w:t>
            </w:r>
          </w:p>
        </w:tc>
        <w:tc>
          <w:tcPr>
            <w:tcW w:type="dxa" w:w="360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  <w:jc w:val="left"/>
            </w:pPr>
            <w:r>
              <w:rPr>
                <w:rFonts w:ascii="Geist" w:hAnsi="Geist" w:cs="Geist" w:eastAsia="Geist"/>
                <w:b w:val="0"/>
                <w:sz w:val="21"/>
              </w:rPr>
              <w:t>Eli confirms the agreed permission to use supplied assets is recorded</w:t>
            </w:r>
          </w:p>
        </w:tc>
      </w:tr>
    </w:tbl>
    <w:p>
      <w:pPr>
        <w:spacing w:after="20"/>
      </w:pPr>
    </w:p>
    <w:p>
      <w:pPr>
        <w:pStyle w:val="Heading1"/>
      </w:pPr>
      <w:r>
        <w:t>Open decisions</w:t>
      </w:r>
    </w:p>
    <w:p>
      <w:r>
        <w:t>No unresolved commercial scope decision in this corrected example. Required assets are still pending. Any additional deliverable needs an approved scope change before a new commitment.</w:t>
      </w:r>
    </w:p>
    <w:p>
      <w:pPr>
        <w:pStyle w:val="Heading1"/>
      </w:pPr>
      <w:r>
        <w:t>Next action</w:t>
      </w:r>
    </w:p>
    <w:p>
      <w:r>
        <w:rPr>
          <w:b/>
        </w:rPr>
        <w:t xml:space="preserve">Action  </w:t>
      </w:r>
      <w:r>
        <w:t>Eli sends Casey the complete input checklist before kickoff on October 19.</w:t>
      </w:r>
    </w:p>
    <w:p>
      <w:r>
        <w:rPr>
          <w:b/>
        </w:rPr>
        <w:t xml:space="preserve">If inputs are late  </w:t>
      </w:r>
      <w:r>
        <w:t>Maya proposes a revised first-draft date after assessing the missing inputs; Eli communicates it before another promise is made.</w:t>
      </w:r>
    </w:p>
    <w:p>
      <w:pPr>
        <w:pStyle w:val="Heading1"/>
      </w:pPr>
      <w:r>
        <w:t>Delivery acceptance</w:t>
      </w:r>
    </w:p>
    <w:p>
      <w:r>
        <w:rPr>
          <w:b/>
        </w:rPr>
        <w:t xml:space="preserve">Readiness  </w:t>
      </w:r>
      <w:r>
        <w:t>Ready for preparation only</w:t>
      </w:r>
    </w:p>
    <w:p>
      <w:r>
        <w:rPr>
          <w:b/>
        </w:rPr>
        <w:t xml:space="preserve">Accepted by and date  </w:t>
      </w:r>
      <w:r>
        <w:t>Maya Chen   October 16, 2026   Constructed acceptance</w:t>
      </w:r>
    </w:p>
    <w:p>
      <w:r>
        <w:t>The scope, approver, and next action are clear. Kickoff planning can proceed. Production and the October 26 target remain dependent on complete inputs by October 20.</w:t>
      </w:r>
    </w:p>
    <w:p>
      <w:pPr>
        <w:pStyle w:val="Heading1"/>
      </w:pPr>
      <w:r>
        <w:t>Source basis</w:t>
      </w:r>
    </w:p>
    <w:p>
      <w:r>
        <w:t>Original operational template. Published context for connected handoffs and delivery responsibilities:</w:t>
      </w:r>
    </w:p>
    <w:p>
      <w:pPr>
        <w:spacing w:after="60"/>
      </w:pPr>
      <w:hyperlink r:id="rId10">
        <w:r>
          <w:rPr>
            <w:color w:val="101010"/>
            <w:sz w:val="20"/>
          </w:rPr>
          <w:t>Attio   Sales led growth guide</w:t>
        </w:r>
      </w:hyperlink>
    </w:p>
    <w:p>
      <w:pPr>
        <w:spacing w:after="60"/>
      </w:pPr>
      <w:hyperlink r:id="rId11">
        <w:r>
          <w:rPr>
            <w:color w:val="101010"/>
            <w:sz w:val="20"/>
          </w:rPr>
          <w:t>GitLab   Professional Services Delivery Methodology</w:t>
        </w:r>
      </w:hyperlink>
    </w:p>
    <w:sectPr w:rsidR="00FC693F" w:rsidRPr="0006063C" w:rsidSect="00034616">
      <w:footerReference w:type="default" r:id="rId9"/>
      <w:headerReference w:type="default" r:id="rId12"/>
      <w:pgSz w:w="12240" w:h="15840"/>
      <w:pgMar w:top="922" w:right="1008" w:bottom="922" w:left="1008" w:header="288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Geist" w:hAnsi="Geist" w:cs="Geist" w:eastAsia="Geist"/>
        <w:color w:val="535353"/>
        <w:sz w:val="18"/>
      </w:rPr>
      <w:t xml:space="preserve">Techmark Journal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/>
    </w:pPr>
    <w:r>
      <w:drawing>
        <wp:inline xmlns:a="http://schemas.openxmlformats.org/drawingml/2006/main" xmlns:pic="http://schemas.openxmlformats.org/drawingml/2006/picture">
          <wp:extent cx="1097280" cy="212169"/>
          <wp:docPr id="1" name="Picture 1" descr="Techmark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212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Geist" w:hAnsi="Geist" w:cs="Geist" w:eastAsia="Geist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Geist" w:hAnsi="Geist" w:cs="Geist" w:eastAsia="Geist"/>
      <w:color w:val="10101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ist" w:hAnsi="Geist" w:cs="Geist" w:eastAsia="Geist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Geist" w:hAnsi="Geist" w:cs="Geist" w:eastAsia="Geist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ist" w:hAnsi="Geist" w:cs="Geist" w:eastAsia="Geist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Geist" w:hAnsi="Geist" w:cs="Geist" w:eastAsia="Geis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cstheme="majorBidi" w:ascii="Geist" w:hAnsi="Geist" w:cs="Geist" w:eastAsia="Geist"/>
      <w:b/>
      <w:bCs/>
      <w:color w:val="10101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Geist" w:hAnsi="Geist" w:cs="Geist" w:eastAsia="Geist"/>
      <w:b/>
      <w:bCs/>
      <w:color w:val="10101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Geist" w:hAnsi="Geist" w:cs="Geist" w:eastAsia="Geist"/>
      <w:b/>
      <w:bCs/>
      <w:color w:val="10101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Geist" w:hAnsi="Geist" w:cs="Geist" w:eastAsia="Geist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Geist" w:hAnsi="Geist" w:cs="Geist" w:eastAsia="Geist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Geist" w:hAnsi="Geist" w:cs="Geist" w:eastAsia="Geist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Geist" w:hAnsi="Geist" w:cs="Geist" w:eastAsia="Geist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Geist" w:hAnsi="Geist" w:cs="Geist" w:eastAsia="Geist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Geist" w:hAnsi="Geist" w:cs="Geist" w:eastAsia="Geist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Geist" w:hAnsi="Geist" w:cs="Geist" w:eastAsia="Geist"/>
    </w:rPr>
  </w:style>
  <w:style w:type="table" w:default="1" w:styleId="TableNormal">
    <w:name w:val="Normal Table"/>
    <w:uiPriority w:val="99"/>
    <w:semiHidden/>
    <w:unhideWhenUsed/>
    <w:rPr>
      <w:rFonts w:ascii="Geist" w:hAnsi="Geist" w:cs="Geist" w:eastAsia="Geis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Geist" w:hAnsi="Geist" w:cs="Geist" w:eastAsia="Geist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 w:ascii="Geist" w:hAnsi="Geist" w:cs="Geist" w:eastAsia="Geis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 w:ascii="Geist" w:hAnsi="Geist" w:cs="Geist" w:eastAsia="Geis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 w:ascii="Geist" w:hAnsi="Geist" w:cs="Geist" w:eastAsia="Geist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cstheme="majorBidi" w:ascii="Geist" w:hAnsi="Geist" w:cs="Geist" w:eastAsia="Geist"/>
      <w:b w:val="0"/>
      <w:color w:val="10101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 w:ascii="Geist" w:hAnsi="Geist" w:cs="Geist" w:eastAsia="Geist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Geist" w:hAnsi="Geist" w:cs="Geist" w:eastAsia="Geist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 w:ascii="Geist" w:hAnsi="Geist" w:cs="Geist" w:eastAsia="Geist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Geist" w:hAnsi="Geist" w:cs="Geist" w:eastAsia="Geist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Geist" w:hAnsi="Geist" w:cs="Geist" w:eastAsia="Geist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Geist" w:hAnsi="Geist" w:cs="Geist" w:eastAsia="Geist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Geist" w:hAnsi="Geist" w:cs="Geist" w:eastAsia="Geist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Geist" w:hAnsi="Geist" w:cs="Geist" w:eastAsia="Geist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Geist" w:hAnsi="Geist" w:cs="Geist" w:eastAsia="Geist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Geist" w:hAnsi="Geist" w:cs="Geist" w:eastAsia="Geist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Geist" w:hAnsi="Geist" w:cs="Geist" w:eastAsia="Geist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Geist" w:hAnsi="Geist" w:cs="Geist" w:eastAsia="Geist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Geist" w:hAnsi="Geist" w:cs="Geist" w:eastAsia="Geist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Geist" w:hAnsi="Geist" w:cs="Geist" w:eastAsia="Geist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Geist" w:hAnsi="Geist" w:cs="Geist" w:eastAsia="Geist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Geist" w:hAnsi="Geist" w:cs="Geist" w:eastAsia="Geist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Geist" w:hAnsi="Geist" w:cs="Geist" w:eastAsia="Geist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Geist" w:hAnsi="Geist" w:cs="Geist" w:eastAsia="Geist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Geist" w:hAnsi="Geist" w:cs="Geist" w:eastAsia="Geist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Geist" w:hAnsi="Geist" w:cs="Geist" w:eastAsia="Geist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Geist" w:hAnsi="Geist" w:cs="Geist" w:eastAsia="Geist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Geist" w:hAnsi="Geist" w:cs="Geist" w:eastAsia="Geist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Geist Mono" w:hAnsi="Geist Mono" w:cs="Geist Mono" w:eastAsia="Geist Mono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Geist Mono" w:hAnsi="Geist Mono" w:cs="Geist Mono" w:eastAsia="Geist Mono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Geist" w:hAnsi="Geist" w:cs="Geist" w:eastAsia="Geist"/>
      <w:i/>
      <w:iCs/>
      <w:color w:val="10101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Geist" w:hAnsi="Geist" w:cs="Geist" w:eastAsia="Geist"/>
      <w:i/>
      <w:iCs/>
      <w:color w:val="10101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 w:ascii="Geist" w:hAnsi="Geist" w:cs="Geist" w:eastAsia="Geist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 w:ascii="Geist" w:hAnsi="Geist" w:cs="Geist" w:eastAsia="Geist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 w:ascii="Geist" w:hAnsi="Geist" w:cs="Geist" w:eastAsia="Geist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 w:ascii="Geist" w:hAnsi="Geist" w:cs="Geist" w:eastAsia="Geist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 w:ascii="Geist" w:hAnsi="Geist" w:cs="Geist" w:eastAsia="Geist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 w:ascii="Geist" w:hAnsi="Geist" w:cs="Geist" w:eastAsia="Geist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Geist" w:hAnsi="Geist" w:cs="Geist" w:eastAsia="Geist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Geist" w:hAnsi="Geist" w:cs="Geist" w:eastAsia="Geist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Geist" w:hAnsi="Geist" w:cs="Geist" w:eastAsia="Geist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Geist" w:hAnsi="Geist" w:cs="Geist" w:eastAsia="Geist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Geist" w:hAnsi="Geist" w:cs="Geist" w:eastAsia="Geist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Geist" w:hAnsi="Geist" w:cs="Geist" w:eastAsia="Geist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Geist" w:hAnsi="Geist" w:cs="Geist" w:eastAsia="Geist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Geist" w:hAnsi="Geist" w:cs="Geist" w:eastAsia="Geist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Geist" w:hAnsi="Geist" w:cs="Geist" w:eastAsia="Geist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Geist" w:hAnsi="Geist" w:cs="Geist" w:eastAsia="Geist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Geist" w:hAnsi="Geist" w:cs="Geist" w:eastAsia="Geist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Geist" w:hAnsi="Geist" w:cs="Geist" w:eastAsia="Geis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Geist" w:hAnsi="Geist" w:cs="Geist" w:eastAsia="Geist"/>
      <w:color w:val="10101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Geist" w:hAnsi="Geist" w:cs="Geist" w:eastAsia="Geist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Geist" w:hAnsi="Geist" w:cs="Geist" w:eastAsia="Geist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Geist" w:hAnsi="Geist" w:cs="Geist" w:eastAsia="Geist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Geist" w:hAnsi="Geist" w:cs="Geist" w:eastAsia="Geist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Geist" w:hAnsi="Geist" w:cs="Geist" w:eastAsia="Geist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Geist" w:hAnsi="Geist" w:cs="Geist" w:eastAsia="Geist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Geist" w:hAnsi="Geist" w:cs="Geist" w:eastAsia="Geis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 w:ascii="Geist" w:hAnsi="Geist" w:cs="Geist" w:eastAsia="Geist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 w:ascii="Geist" w:hAnsi="Geist" w:cs="Geist" w:eastAsia="Geist"/>
        <w:b/>
        <w:bCs/>
      </w:rPr>
    </w:tblStylePr>
    <w:tblStylePr w:type="lastCol">
      <w:rPr>
        <w:rFonts w:cstheme="majorBidi" w:ascii="Geist" w:hAnsi="Geist" w:cs="Geist" w:eastAsia="Geis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Geist" w:hAnsi="Geist" w:cs="Geist" w:eastAsia="Geist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 w:ascii="Geist" w:hAnsi="Geist" w:cs="Geist" w:eastAsia="Geist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 w:ascii="Geist" w:hAnsi="Geist" w:cs="Geist" w:eastAsia="Geist"/>
        <w:b/>
        <w:bCs/>
      </w:rPr>
    </w:tblStylePr>
    <w:tblStylePr w:type="lastCol">
      <w:rPr>
        <w:rFonts w:cstheme="majorBidi" w:ascii="Geist" w:hAnsi="Geist" w:cs="Geist" w:eastAsia="Geist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Geist" w:hAnsi="Geist" w:cs="Geist" w:eastAsia="Geist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 w:ascii="Geist" w:hAnsi="Geist" w:cs="Geist" w:eastAsia="Geist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 w:ascii="Geist" w:hAnsi="Geist" w:cs="Geist" w:eastAsia="Geist"/>
        <w:b/>
        <w:bCs/>
      </w:rPr>
    </w:tblStylePr>
    <w:tblStylePr w:type="lastCol">
      <w:rPr>
        <w:rFonts w:cstheme="majorBidi" w:ascii="Geist" w:hAnsi="Geist" w:cs="Geist" w:eastAsia="Geist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Geist" w:hAnsi="Geist" w:cs="Geist" w:eastAsia="Geist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 w:ascii="Geist" w:hAnsi="Geist" w:cs="Geist" w:eastAsia="Geist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 w:ascii="Geist" w:hAnsi="Geist" w:cs="Geist" w:eastAsia="Geist"/>
        <w:b/>
        <w:bCs/>
      </w:rPr>
    </w:tblStylePr>
    <w:tblStylePr w:type="lastCol">
      <w:rPr>
        <w:rFonts w:cstheme="majorBidi" w:ascii="Geist" w:hAnsi="Geist" w:cs="Geist" w:eastAsia="Geist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Geist" w:hAnsi="Geist" w:cs="Geist" w:eastAsia="Geis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 w:ascii="Geist" w:hAnsi="Geist" w:cs="Geist" w:eastAsia="Geis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 w:ascii="Geist" w:hAnsi="Geist" w:cs="Geist" w:eastAsia="Geist"/>
        <w:b/>
        <w:bCs/>
      </w:rPr>
    </w:tblStylePr>
    <w:tblStylePr w:type="lastCol">
      <w:rPr>
        <w:rFonts w:cstheme="majorBidi" w:ascii="Geist" w:hAnsi="Geist" w:cs="Geist" w:eastAsia="Geis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Geist" w:hAnsi="Geist" w:cs="Geist" w:eastAsia="Geis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 w:ascii="Geist" w:hAnsi="Geist" w:cs="Geist" w:eastAsia="Geist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 w:ascii="Geist" w:hAnsi="Geist" w:cs="Geist" w:eastAsia="Geist"/>
        <w:b/>
        <w:bCs/>
      </w:rPr>
    </w:tblStylePr>
    <w:tblStylePr w:type="lastCol">
      <w:rPr>
        <w:rFonts w:cstheme="majorBidi" w:ascii="Geist" w:hAnsi="Geist" w:cs="Geist" w:eastAsia="Geis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Geist" w:hAnsi="Geist" w:cs="Geist" w:eastAsia="Geis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 w:ascii="Geist" w:hAnsi="Geist" w:cs="Geist" w:eastAsia="Geis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 w:ascii="Geist" w:hAnsi="Geist" w:cs="Geist" w:eastAsia="Geist"/>
        <w:b/>
        <w:bCs/>
      </w:rPr>
    </w:tblStylePr>
    <w:tblStylePr w:type="lastCol">
      <w:rPr>
        <w:rFonts w:cstheme="majorBidi" w:ascii="Geist" w:hAnsi="Geist" w:cs="Geist" w:eastAsia="Geis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ascii="Geist" w:hAnsi="Geist" w:cs="Geist" w:eastAsia="Geist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ascii="Geist" w:hAnsi="Geist" w:cs="Geist" w:eastAsia="Geist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ascii="Geist" w:hAnsi="Geist" w:cs="Geist" w:eastAsia="Geist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ascii="Geist" w:hAnsi="Geist" w:cs="Geist" w:eastAsia="Geist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ascii="Geist" w:hAnsi="Geist" w:cs="Geist" w:eastAsia="Geist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ascii="Geist" w:hAnsi="Geist" w:cs="Geist" w:eastAsia="Geist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ascii="Geist" w:hAnsi="Geist" w:cs="Geist" w:eastAsia="Geist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0101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0101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0101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0101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0101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0101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0101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0101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0101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0101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0101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0101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0101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0101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0101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0101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0101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0101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0101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0101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0101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0101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0101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0101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0101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0101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0101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0101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Geist" w:hAnsi="Geist" w:cs="Geist" w:eastAsia="Geis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Geist" w:hAnsi="Geist" w:cs="Geist" w:eastAsia="Geist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Geist" w:hAnsi="Geist" w:cs="Geist" w:eastAsia="Geist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Geist" w:hAnsi="Geist" w:cs="Geist" w:eastAsia="Geist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Geist" w:hAnsi="Geist" w:cs="Geist" w:eastAsia="Geist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Geist" w:hAnsi="Geist" w:cs="Geist" w:eastAsia="Geist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Geist" w:hAnsi="Geist" w:cs="Geist" w:eastAsia="Geist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Geist" w:hAnsi="Geist" w:cs="Geist" w:eastAsia="Geist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01010" w:themeColor="text1"/>
      </w:rPr>
    </w:tblStylePr>
    <w:tblStylePr w:type="nwCell">
      <w:rPr>
        <w:color w:val="10101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01010" w:themeColor="text1"/>
      </w:rPr>
    </w:tblStylePr>
    <w:tblStylePr w:type="nwCell">
      <w:rPr>
        <w:color w:val="10101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01010" w:themeColor="text1"/>
      </w:rPr>
    </w:tblStylePr>
    <w:tblStylePr w:type="nwCell">
      <w:rPr>
        <w:color w:val="10101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01010" w:themeColor="text1"/>
      </w:rPr>
    </w:tblStylePr>
    <w:tblStylePr w:type="nwCell">
      <w:rPr>
        <w:color w:val="10101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01010" w:themeColor="text1"/>
      </w:rPr>
    </w:tblStylePr>
    <w:tblStylePr w:type="nwCell">
      <w:rPr>
        <w:color w:val="10101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01010" w:themeColor="text1"/>
      </w:rPr>
    </w:tblStylePr>
    <w:tblStylePr w:type="nwCell">
      <w:rPr>
        <w:color w:val="10101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0101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0101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0101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0101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0101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0101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Geist" w:hAnsi="Geist" w:cs="Geist" w:eastAsia="Geist"/>
      <w:color w:val="10101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0101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attio.com/help/reference/industry-guides/sales-led" TargetMode="External"/><Relationship Id="rId11" Type="http://schemas.openxmlformats.org/officeDocument/2006/relationships/hyperlink" Target="https://handbook.gitlab.com/handbook/customer-experience/professional-services-engineering/professional-services-delivery-methodology/" TargetMode="External"/><Relationship Id="rId12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to onboarding handoff</dc:title>
  <dc:subject>Techmark Journal companion</dc:subject>
  <dc:creator>Techmark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