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2460B4AF" w:rsidR="000F108B" w:rsidRDefault="00736735" w:rsidP="001F059D">
      <w:r>
        <w:rPr>
          <w:noProof/>
        </w:rPr>
        <mc:AlternateContent>
          <mc:Choice Requires="wps">
            <w:drawing>
              <wp:anchor distT="0" distB="0" distL="114300" distR="114300" simplePos="0" relativeHeight="251662336" behindDoc="0" locked="0" layoutInCell="1" allowOverlap="1" wp14:anchorId="6666B828" wp14:editId="275FEB64">
                <wp:simplePos x="0" y="0"/>
                <wp:positionH relativeFrom="column">
                  <wp:posOffset>-499745</wp:posOffset>
                </wp:positionH>
                <wp:positionV relativeFrom="paragraph">
                  <wp:posOffset>7208617</wp:posOffset>
                </wp:positionV>
                <wp:extent cx="2433955" cy="31320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313200"/>
                        </a:xfrm>
                        <a:prstGeom prst="rect">
                          <a:avLst/>
                        </a:prstGeom>
                        <a:noFill/>
                        <a:ln w="6350">
                          <a:noFill/>
                        </a:ln>
                      </wps:spPr>
                      <wps:txbx>
                        <w:txbxContent>
                          <w:p w14:paraId="34E472DF" w14:textId="51A85B2F"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F23C9A">
                              <w:rPr>
                                <w:color w:val="FFFFFF" w:themeColor="background1"/>
                                <w:sz w:val="32"/>
                                <w:szCs w:val="32"/>
                              </w:rPr>
                              <w:t>Vasili Lazanas</w:t>
                            </w:r>
                          </w:p>
                          <w:p w14:paraId="3B17B765" w14:textId="481669D2" w:rsidR="000F108B" w:rsidRDefault="00004C29" w:rsidP="00004C29">
                            <w:pPr>
                              <w:pStyle w:val="p1"/>
                            </w:pPr>
                            <w:r>
                              <w:rPr>
                                <w:rStyle w:val="s1"/>
                              </w:rPr>
                              <w:t>Commissioner of Police (NSW Police Force) v Joshua Lees [2025] NSWSC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66B828" id="_x0000_t202" coordsize="21600,21600" o:spt="202" path="m,l,21600r21600,l21600,xe">
                <v:stroke joinstyle="miter"/>
                <v:path gradientshapeok="t" o:connecttype="rect"/>
              </v:shapetype>
              <v:shape id="Text Box 21" o:spid="_x0000_s1026" type="#_x0000_t202" style="position:absolute;margin-left:-39.35pt;margin-top:567.6pt;width:191.65pt;height:24.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" filled="f" stroked="f" strokeweight=".5pt">
                <v:textbox>
                  <w:txbxContent>
                    <w:p w14:paraId="34E472DF" w14:textId="51A85B2F"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F23C9A">
                        <w:rPr>
                          <w:color w:val="FFFFFF" w:themeColor="background1"/>
                          <w:sz w:val="32"/>
                          <w:szCs w:val="32"/>
                        </w:rPr>
                        <w:t>Vasili Lazanas</w:t>
                      </w:r>
                    </w:p>
                    <w:p w14:paraId="3B17B765" w14:textId="481669D2" w:rsidR="000F108B" w:rsidRDefault="00004C29" w:rsidP="00004C29">
                      <w:pPr>
                        <w:pStyle w:val="p1"/>
                      </w:pPr>
                      <w:r>
                        <w:rPr>
                          <w:rStyle w:val="s1"/>
                        </w:rPr>
                        <w:t>Commissioner of Police (NSW Police Force) v Joshua Lees [2025] NSWSC 8</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BE7ACF9" wp14:editId="71855415">
                <wp:simplePos x="0" y="0"/>
                <wp:positionH relativeFrom="column">
                  <wp:posOffset>-498475</wp:posOffset>
                </wp:positionH>
                <wp:positionV relativeFrom="paragraph">
                  <wp:posOffset>4340426</wp:posOffset>
                </wp:positionV>
                <wp:extent cx="3615690" cy="2827655"/>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3615690" cy="2827655"/>
                        </a:xfrm>
                        <a:prstGeom prst="rect">
                          <a:avLst/>
                        </a:prstGeom>
                        <a:noFill/>
                        <a:ln w="6350">
                          <a:noFill/>
                        </a:ln>
                      </wps:spPr>
                      <wps:txbx>
                        <w:txbxContent>
                          <w:p w14:paraId="0489C074" w14:textId="3BF29217" w:rsidR="000F108B" w:rsidRPr="001F059D" w:rsidRDefault="00D30ED1" w:rsidP="001F059D">
                            <w:pPr>
                              <w:pStyle w:val="Title"/>
                            </w:pPr>
                            <w:r>
                              <w:t>Commissioner of Police (NSW Police Force) v Joshua Lees</w:t>
                            </w:r>
                            <w:r w:rsidR="008132DB">
                              <w:t xml:space="preserve"> [2025] NSW</w:t>
                            </w:r>
                            <w:r w:rsidR="00004C29">
                              <w:t>SC 858</w:t>
                            </w:r>
                          </w:p>
                          <w:p w14:paraId="33A8E14E" w14:textId="798638B4" w:rsidR="000F108B" w:rsidRPr="001F059D" w:rsidRDefault="00117D0B" w:rsidP="001F059D">
                            <w:pPr>
                              <w:pStyle w:val="Subtitle"/>
                            </w:pPr>
                            <w:r>
                              <w:t>A Case Summary</w:t>
                            </w:r>
                          </w:p>
                          <w:p w14:paraId="0923727F" w14:textId="77777777" w:rsidR="001F059D" w:rsidRDefault="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7ACF9" id="Text Box 27" o:spid="_x0000_s1027" type="#_x0000_t202" style="position:absolute;margin-left:-39.25pt;margin-top:341.75pt;width:284.7pt;height:2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" filled="f" stroked="f" strokeweight=".5pt">
                <v:textbox>
                  <w:txbxContent>
                    <w:p w14:paraId="0489C074" w14:textId="3BF29217" w:rsidR="000F108B" w:rsidRPr="001F059D" w:rsidRDefault="00D30ED1" w:rsidP="001F059D">
                      <w:pPr>
                        <w:pStyle w:val="Title"/>
                      </w:pPr>
                      <w:r>
                        <w:t>Commissioner of Police (NSW Police Force) v Joshua Lees</w:t>
                      </w:r>
                      <w:r w:rsidR="008132DB">
                        <w:t xml:space="preserve"> [2025] NSW</w:t>
                      </w:r>
                      <w:r w:rsidR="00004C29">
                        <w:t>SC 858</w:t>
                      </w:r>
                    </w:p>
                    <w:p w14:paraId="33A8E14E" w14:textId="798638B4" w:rsidR="000F108B" w:rsidRPr="001F059D" w:rsidRDefault="00117D0B" w:rsidP="001F059D">
                      <w:pPr>
                        <w:pStyle w:val="Subtitle"/>
                      </w:pPr>
                      <w:r>
                        <w:t>A Case Summary</w:t>
                      </w:r>
                    </w:p>
                    <w:p w14:paraId="0923727F" w14:textId="77777777" w:rsidR="001F059D" w:rsidRDefault="001F059D"/>
                  </w:txbxContent>
                </v:textbox>
              </v:shape>
            </w:pict>
          </mc:Fallback>
        </mc:AlternateContent>
      </w:r>
      <w:r w:rsidR="004E2D72">
        <w:rPr>
          <w:noProof/>
        </w:rPr>
        <w:drawing>
          <wp:anchor distT="0" distB="0" distL="114300" distR="114300" simplePos="0" relativeHeight="251658239" behindDoc="0" locked="0" layoutInCell="1" allowOverlap="1" wp14:anchorId="2BD4E929" wp14:editId="7CE8AA1E">
            <wp:simplePos x="0" y="0"/>
            <wp:positionH relativeFrom="column">
              <wp:posOffset>-685800</wp:posOffset>
            </wp:positionH>
            <wp:positionV relativeFrom="paragraph">
              <wp:posOffset>-1041400</wp:posOffset>
            </wp:positionV>
            <wp:extent cx="7526655" cy="11000171"/>
            <wp:effectExtent l="0" t="0" r="4445" b="0"/>
            <wp:wrapNone/>
            <wp:docPr id="1348039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39794" name="Picture 1348039794"/>
                    <pic:cNvPicPr/>
                  </pic:nvPicPr>
                  <pic:blipFill>
                    <a:blip r:embed="rId6">
                      <a:extLst>
                        <a:ext uri="{28A0092B-C50C-407E-A947-70E740481C1C}">
                          <a14:useLocalDpi xmlns:a14="http://schemas.microsoft.com/office/drawing/2010/main" val="0"/>
                        </a:ext>
                      </a:extLst>
                    </a:blip>
                    <a:stretch>
                      <a:fillRect/>
                    </a:stretch>
                  </pic:blipFill>
                  <pic:spPr>
                    <a:xfrm>
                      <a:off x="0" y="0"/>
                      <a:ext cx="7526655" cy="11000171"/>
                    </a:xfrm>
                    <a:prstGeom prst="rect">
                      <a:avLst/>
                    </a:prstGeom>
                  </pic:spPr>
                </pic:pic>
              </a:graphicData>
            </a:graphic>
            <wp14:sizeRelH relativeFrom="margin">
              <wp14:pctWidth>0</wp14:pctWidth>
            </wp14:sizeRelH>
            <wp14:sizeRelV relativeFrom="margin">
              <wp14:pctHeight>0</wp14:pctHeight>
            </wp14:sizeRelV>
          </wp:anchor>
        </w:drawing>
      </w:r>
      <w:r w:rsidR="00580005">
        <w:rPr>
          <w:noProof/>
        </w:rPr>
        <mc:AlternateContent>
          <mc:Choice Requires="wpg">
            <w:drawing>
              <wp:anchor distT="0" distB="0" distL="114300" distR="114300" simplePos="0" relativeHeight="251659264" behindDoc="0" locked="0" layoutInCell="1" allowOverlap="1" wp14:anchorId="2B6E4E9D" wp14:editId="11768880">
                <wp:simplePos x="0" y="0"/>
                <wp:positionH relativeFrom="column">
                  <wp:posOffset>-859420</wp:posOffset>
                </wp:positionH>
                <wp:positionV relativeFrom="paragraph">
                  <wp:posOffset>-960699</wp:posOffset>
                </wp:positionV>
                <wp:extent cx="7769860" cy="10930890"/>
                <wp:effectExtent l="0" t="0" r="15240" b="16510"/>
                <wp:wrapNone/>
                <wp:docPr id="1521003895" name="Group 23"/>
                <wp:cNvGraphicFramePr/>
                <a:graphic xmlns:a="http://schemas.openxmlformats.org/drawingml/2006/main">
                  <a:graphicData uri="http://schemas.microsoft.com/office/word/2010/wordprocessingGroup">
                    <wpg:wgp>
                      <wpg:cNvGrpSpPr/>
                      <wpg:grpSpPr>
                        <a:xfrm>
                          <a:off x="0" y="0"/>
                          <a:ext cx="7769860" cy="10930890"/>
                          <a:chOff x="0" y="-51025"/>
                          <a:chExt cx="7769915" cy="10735853"/>
                        </a:xfrm>
                      </wpg:grpSpPr>
                      <wps:wsp>
                        <wps:cNvPr id="1472515651" name="Rectangle 15"/>
                        <wps:cNvSpPr/>
                        <wps:spPr>
                          <a:xfrm>
                            <a:off x="0" y="-51025"/>
                            <a:ext cx="7766235" cy="10732281"/>
                          </a:xfrm>
                          <a:prstGeom prst="rect">
                            <a:avLst/>
                          </a:prstGeom>
                          <a:gradFill>
                            <a:gsLst>
                              <a:gs pos="0">
                                <a:schemeClr val="tx1">
                                  <a:alpha val="22000"/>
                                </a:schemeClr>
                              </a:gs>
                              <a:gs pos="100000">
                                <a:schemeClr val="tx1">
                                  <a:alpha val="64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23" style="position:absolute;margin-left:-67.65pt;margin-top:-75.65pt;width:611.8pt;height:860.7pt;z-index:251659264;mso-height-relative:margin" coordsize="77699,107358" coordorigin=",-510" o:spid="_x0000_s1026" w14:anchorId="28FFAE3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">
                <v:rect id="Rectangle 15" style="position:absolute;top:-510;width:77662;height:107322;visibility:visible;mso-wrap-style:square;v-text-anchor:middle" o:spid="_x0000_s1027" fillcolor="black [3213]" strokecolor="white [3212]" strokeweight=".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">
                  <v:fill type="gradient" opacity="14417f" color2="black [3213]" focus="100%" o:opacity2="41943f" rotate="t">
                    <o:fill v:ext="view" type="gradientUnscaled"/>
                  </v:fill>
                </v:rect>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16" style="position:absolute;left:26427;top:61202;width:49986;height:45646;visibility:visible;mso-wrap-style:square;v-text-anchor:middle" o:spid="_x0000_s1028" fillcolor="#d8d8d8 [2732]" stroked="f" strokeweight=".5pt" type="#_x0000_t5" adj="10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v:fill type="gradient" opacity="19005f" color2="#f2f2f2 [3052]" colors="0 #d9d9d9;3932f #d9d9d9" focus="100%" o:opacity2="7208f" rotate="t">
                    <o:fill v:ext="view" type="gradientUnscaled"/>
                  </v:fill>
                </v:shape>
                <v:line id="Straight Connector 17" style="position:absolute;flip:x;visibility:visible;mso-wrap-style:square" o:spid="_x0000_s1029" strokecolor="white [3212]" strokeweight="1pt" o:connectortype="straight" from="22467,127" to="77698,106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v:stroke joinstyle="miter"/>
                </v:line>
                <v:line id="Straight Connector 18" style="position:absolute;visibility:visible;mso-wrap-style:square" o:spid="_x0000_s1030" strokecolor="white [3212]" strokeweight="1pt" o:connectortype="straight" from="51042,51354" to="77699,100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v:stroke joinstyle="miter"/>
                </v:line>
                <v:shape id="Triangle 16" style="position:absolute;left:34971;top:74918;width:33606;height:31211;visibility:visible;mso-wrap-style:square;v-text-anchor:middle" o:spid="_x0000_s1031" fillcolor="#d8d8d8 [273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v:fill type="gradient" opacity="35389f" color2="#f2f2f2 [3052]" colors="0 #d9d9d9;3932f #d9d9d9" focus="100%" o:opacity2="7208f" rotate="t">
                    <o:fill v:ext="view" type="gradientUnscaled"/>
                  </v:fill>
                </v:shape>
                <v:shape id="Triangle 16" style="position:absolute;left:12734;top:103;width:59579;height:58759;flip:y;visibility:visible;mso-wrap-style:square;v-text-anchor:middle" o:spid="_x0000_s1032" fillcolor="#d8d8d8 [2732]" stroked="f" strokeweight=".5pt" type="#_x0000_t5" adj="10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v:fill type="gradient" opacity="19005f" color2="#f2f2f2 [3052]" colors="0 #d9d9d9;3932f #d9d9d9" focus="100%" o:opacity2="7208f" rotate="t">
                    <o:fill v:ext="view" type="gradientUnscaled"/>
                  </v:fill>
                </v:shape>
                <v:line id="Straight Connector 19" style="position:absolute;flip:x y;visibility:visible;mso-wrap-style:square" o:spid="_x0000_s1033" strokecolor="white [3212]" strokeweight="1pt" o:connectortype="straight" from="6153,126" to="42363,6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v:stroke joinstyle="miter"/>
                </v:line>
                <v:shape id="Triangle 16" style="position:absolute;left:20862;width:42977;height:41742;flip:y;visibility:visible;mso-wrap-style:square;v-text-anchor:middle" o:spid="_x0000_s1034" fillcolor="#f2f2f2 [305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v:fill type="gradient" opacity="27525f" color2="white [3212]" colors="0 #f2f2f2;3932f #f2f2f2" focus="100%" o:opacity2="11796f" rotate="t">
                    <o:fill v:ext="view" type="gradientUnscaled"/>
                  </v:fill>
                </v:shape>
                <v:shape id="Triangle 16" style="position:absolute;left:43911;top:45373;width:54063;height:12393;rotation:-90;flip:y;visibility:visible;mso-wrap-style:square;v-text-anchor:middle" o:spid="_x0000_s1035" fillcolor="#f2f2f2 [305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v:fill type="gradient" opacity="27525f" color2="white [3212]" colors="0 #f2f2f2;3932f #f2f2f2" focus="100%" o:opacity2="11796f" rotate="t">
                    <o:fill v:ext="view" type="gradientUnscaled"/>
                  </v:fill>
                </v:shape>
                <v:line id="Straight Connector 20" style="position:absolute;flip:x y;visibility:visible;mso-wrap-style:square" o:spid="_x0000_s1036" strokecolor="white [3212]" strokeweight="1pt" o:connectortype="straight" from="0,78578" to="36899,78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v:stroke joinstyle="miter"/>
                </v:line>
              </v:group>
            </w:pict>
          </mc:Fallback>
        </mc:AlternateContent>
      </w:r>
      <w:r w:rsidR="000F108B">
        <w:br w:type="page"/>
      </w:r>
    </w:p>
    <w:p w14:paraId="485244B9" w14:textId="2171F211" w:rsidR="00320DCC" w:rsidRPr="00736735" w:rsidRDefault="00320DCC" w:rsidP="00736735">
      <w:pPr>
        <w:pStyle w:val="Heading1"/>
        <w:rPr>
          <w:rFonts w:eastAsia="Arial"/>
          <w:lang w:val="en" w:eastAsia="en-GB"/>
        </w:rPr>
      </w:pPr>
      <w:r w:rsidRPr="00BA6690">
        <w:lastRenderedPageBreak/>
        <w:t xml:space="preserve">I </w:t>
      </w:r>
      <w:r w:rsidRPr="00BA6690">
        <w:rPr>
          <w:lang w:val="en" w:eastAsia="en-GB"/>
        </w:rPr>
        <w:t>BACKGROUND INFORMATION</w:t>
      </w:r>
    </w:p>
    <w:p w14:paraId="424F07AA" w14:textId="190C7D0C" w:rsidR="00320DCC" w:rsidRPr="00736735" w:rsidRDefault="00320DCC" w:rsidP="00736735">
      <w:pPr>
        <w:rPr>
          <w:rFonts w:eastAsia="Merriweather Light"/>
          <w:color w:val="333333"/>
          <w:sz w:val="24"/>
          <w:szCs w:val="24"/>
          <w:lang w:val="en" w:eastAsia="en-GB"/>
        </w:rPr>
      </w:pPr>
      <w:r w:rsidRPr="00BA6690">
        <w:rPr>
          <w:rFonts w:eastAsia="Arial"/>
          <w:color w:val="333333"/>
          <w:sz w:val="24"/>
          <w:szCs w:val="24"/>
          <w:lang w:val="en" w:eastAsia="en-GB"/>
        </w:rPr>
        <w:t>On the 26th of July 2025 in accordance with section 23 of the Summary Offences Act 1988 (NSW), Joshua Lees, lodged a form 1 notice of intention to hold a public assembly on behalf of the Palestine Action Group.</w:t>
      </w:r>
      <w:r w:rsidRPr="00BA6690">
        <w:rPr>
          <w:rFonts w:eastAsia="Arial"/>
          <w:b/>
          <w:bCs/>
          <w:color w:val="333333"/>
          <w:sz w:val="24"/>
          <w:szCs w:val="24"/>
          <w:vertAlign w:val="superscript"/>
          <w:lang w:val="en" w:eastAsia="en-GB"/>
        </w:rPr>
        <w:footnoteReference w:id="1"/>
      </w:r>
      <w:r w:rsidRPr="00BA6690">
        <w:rPr>
          <w:rFonts w:eastAsia="Arial"/>
          <w:b/>
          <w:bCs/>
          <w:color w:val="333333"/>
          <w:sz w:val="24"/>
          <w:szCs w:val="24"/>
          <w:lang w:val="en" w:eastAsia="en-GB"/>
        </w:rPr>
        <w:t xml:space="preserve"> </w:t>
      </w:r>
      <w:r w:rsidRPr="00BA6690">
        <w:rPr>
          <w:rFonts w:eastAsia="Arial"/>
          <w:color w:val="333333"/>
          <w:sz w:val="24"/>
          <w:szCs w:val="24"/>
          <w:lang w:val="en" w:eastAsia="en-GB"/>
        </w:rPr>
        <w:t xml:space="preserve">The </w:t>
      </w:r>
      <w:proofErr w:type="spellStart"/>
      <w:r w:rsidRPr="00BA6690">
        <w:rPr>
          <w:rFonts w:eastAsia="Arial"/>
          <w:color w:val="333333"/>
          <w:sz w:val="24"/>
          <w:szCs w:val="24"/>
          <w:lang w:val="en" w:eastAsia="en-GB"/>
        </w:rPr>
        <w:t>organisers</w:t>
      </w:r>
      <w:proofErr w:type="spellEnd"/>
      <w:r w:rsidRPr="00BA6690">
        <w:rPr>
          <w:rFonts w:eastAsia="Arial"/>
          <w:color w:val="333333"/>
          <w:sz w:val="24"/>
          <w:szCs w:val="24"/>
          <w:lang w:val="en" w:eastAsia="en-GB"/>
        </w:rPr>
        <w:t xml:space="preserve"> of the ‘March For Humanity’ disclosed their intention to march across the Sydney </w:t>
      </w:r>
      <w:proofErr w:type="spellStart"/>
      <w:r w:rsidRPr="00BA6690">
        <w:rPr>
          <w:rFonts w:eastAsia="Arial"/>
          <w:color w:val="333333"/>
          <w:sz w:val="24"/>
          <w:szCs w:val="24"/>
          <w:lang w:val="en" w:eastAsia="en-GB"/>
        </w:rPr>
        <w:t>harbour</w:t>
      </w:r>
      <w:proofErr w:type="spellEnd"/>
      <w:r w:rsidRPr="00BA6690">
        <w:rPr>
          <w:rFonts w:eastAsia="Arial"/>
          <w:color w:val="333333"/>
          <w:sz w:val="24"/>
          <w:szCs w:val="24"/>
          <w:lang w:val="en" w:eastAsia="en-GB"/>
        </w:rPr>
        <w:t xml:space="preserve"> bridge with an estimate of 10,000 protestors.</w:t>
      </w:r>
      <w:r w:rsidRPr="00BA6690">
        <w:rPr>
          <w:rFonts w:eastAsia="Arial"/>
          <w:b/>
          <w:bCs/>
          <w:color w:val="333333"/>
          <w:sz w:val="24"/>
          <w:szCs w:val="24"/>
          <w:vertAlign w:val="superscript"/>
          <w:lang w:val="en" w:eastAsia="en-GB"/>
        </w:rPr>
        <w:footnoteReference w:id="2"/>
      </w:r>
      <w:r w:rsidRPr="00BA6690">
        <w:rPr>
          <w:rFonts w:eastAsia="Arial"/>
          <w:color w:val="333333"/>
          <w:sz w:val="24"/>
          <w:szCs w:val="24"/>
          <w:lang w:val="en" w:eastAsia="en-GB"/>
        </w:rPr>
        <w:t xml:space="preserve"> Despite the legality of the form 1, the proposed ‘March For Humanity’ was subject to an enormous amount of public scrutiny and backlash, particularly regarding public safety concerns and the significance of closing the bridge for a protest. Concerns and criticism from members of the executive and legislature inevitably led to the judicial proceeding outlined in section </w:t>
      </w:r>
      <w:r w:rsidRPr="00BA6690">
        <w:rPr>
          <w:rFonts w:eastAsia="Merriweather Light"/>
          <w:color w:val="333333"/>
          <w:sz w:val="24"/>
          <w:szCs w:val="24"/>
          <w:lang w:val="en" w:eastAsia="en-GB"/>
        </w:rPr>
        <w:t>II.</w:t>
      </w:r>
    </w:p>
    <w:p w14:paraId="4B2BD326" w14:textId="4FCD7BA0" w:rsidR="00320DCC" w:rsidRPr="00736735" w:rsidRDefault="00320DCC" w:rsidP="00736735">
      <w:pPr>
        <w:spacing w:line="276" w:lineRule="auto"/>
        <w:jc w:val="center"/>
        <w:rPr>
          <w:rFonts w:eastAsia="Merriweather ExtraBold"/>
          <w:color w:val="215E99" w:themeColor="text2" w:themeTint="BF"/>
          <w:sz w:val="28"/>
          <w:szCs w:val="28"/>
          <w:lang w:val="en" w:eastAsia="en-GB"/>
        </w:rPr>
      </w:pPr>
      <w:r w:rsidRPr="00BA6690">
        <w:rPr>
          <w:rFonts w:eastAsia="Merriweather ExtraBold"/>
          <w:color w:val="215E99" w:themeColor="text2" w:themeTint="BF"/>
          <w:sz w:val="28"/>
          <w:szCs w:val="28"/>
          <w:lang w:val="en" w:eastAsia="en-GB"/>
        </w:rPr>
        <w:t>II FACTS OF THE CASE</w:t>
      </w:r>
    </w:p>
    <w:p w14:paraId="7E68F8F9" w14:textId="4398965E" w:rsidR="00320DCC" w:rsidRPr="00BA6690" w:rsidRDefault="00320DCC" w:rsidP="00736735">
      <w:pPr>
        <w:rPr>
          <w:rFonts w:eastAsia="Arial"/>
          <w:color w:val="333333"/>
          <w:sz w:val="24"/>
          <w:szCs w:val="24"/>
          <w:lang w:val="en" w:eastAsia="en-GB"/>
        </w:rPr>
      </w:pPr>
      <w:r w:rsidRPr="00BA6690">
        <w:rPr>
          <w:rFonts w:eastAsia="Arial"/>
          <w:color w:val="333333"/>
          <w:sz w:val="24"/>
          <w:szCs w:val="24"/>
          <w:lang w:val="en" w:eastAsia="en-GB"/>
        </w:rPr>
        <w:t xml:space="preserve">On the 1st of August 2025 the NSW Supreme Court heard an application from the plaintiff, NSW police commissioner Karen Webb, which sought to prohibit the ‘March For Humanity’ which was </w:t>
      </w:r>
      <w:proofErr w:type="spellStart"/>
      <w:r w:rsidRPr="00BA6690">
        <w:rPr>
          <w:rFonts w:eastAsia="Arial"/>
          <w:color w:val="333333"/>
          <w:sz w:val="24"/>
          <w:szCs w:val="24"/>
          <w:lang w:val="en" w:eastAsia="en-GB"/>
        </w:rPr>
        <w:t>organised</w:t>
      </w:r>
      <w:proofErr w:type="spellEnd"/>
      <w:r w:rsidRPr="00BA6690">
        <w:rPr>
          <w:rFonts w:eastAsia="Arial"/>
          <w:color w:val="333333"/>
          <w:sz w:val="24"/>
          <w:szCs w:val="24"/>
          <w:lang w:val="en" w:eastAsia="en-GB"/>
        </w:rPr>
        <w:t xml:space="preserve"> by the defendant, Joshua Lees, and was scheduled to occur on the 3rd of August 2025.</w:t>
      </w:r>
      <w:r w:rsidRPr="00BA6690">
        <w:rPr>
          <w:rFonts w:eastAsia="Arial"/>
          <w:color w:val="333333"/>
          <w:sz w:val="24"/>
          <w:szCs w:val="24"/>
          <w:vertAlign w:val="superscript"/>
          <w:lang w:val="en" w:eastAsia="en-GB"/>
        </w:rPr>
        <w:footnoteReference w:id="3"/>
      </w:r>
      <w:r w:rsidRPr="00BA6690">
        <w:rPr>
          <w:rFonts w:eastAsia="Arial"/>
          <w:color w:val="333333"/>
          <w:sz w:val="24"/>
          <w:szCs w:val="24"/>
          <w:lang w:val="en" w:eastAsia="en-GB"/>
        </w:rPr>
        <w:t xml:space="preserve"> The plaintiff filed the application seeking an order under section 25 of the Summary Offences Act 1988 (NSW) which is the ‘Prohibition by a court of a public assembly’</w:t>
      </w:r>
      <w:r w:rsidRPr="00BA6690">
        <w:rPr>
          <w:rFonts w:eastAsia="Arial"/>
          <w:color w:val="333333"/>
          <w:sz w:val="24"/>
          <w:szCs w:val="24"/>
          <w:vertAlign w:val="superscript"/>
          <w:lang w:val="en" w:eastAsia="en-GB"/>
        </w:rPr>
        <w:footnoteReference w:id="4"/>
      </w:r>
      <w:r w:rsidRPr="00BA6690">
        <w:rPr>
          <w:rFonts w:eastAsia="Arial"/>
          <w:color w:val="333333"/>
          <w:sz w:val="24"/>
          <w:szCs w:val="24"/>
          <w:lang w:val="en" w:eastAsia="en-GB"/>
        </w:rPr>
        <w:t xml:space="preserve"> In order to support the application's objective, the plaintiff called upon certain members from the executive and legislature to present affidavits regarding the dangers of the march in order to compel the judge to approve the application. If this were to be </w:t>
      </w:r>
      <w:proofErr w:type="gramStart"/>
      <w:r w:rsidRPr="00BA6690">
        <w:rPr>
          <w:rFonts w:eastAsia="Arial"/>
          <w:color w:val="333333"/>
          <w:sz w:val="24"/>
          <w:szCs w:val="24"/>
          <w:lang w:val="en" w:eastAsia="en-GB"/>
        </w:rPr>
        <w:t>successful</w:t>
      </w:r>
      <w:proofErr w:type="gramEnd"/>
      <w:r w:rsidRPr="00BA6690">
        <w:rPr>
          <w:rFonts w:eastAsia="Arial"/>
          <w:color w:val="333333"/>
          <w:sz w:val="24"/>
          <w:szCs w:val="24"/>
          <w:lang w:val="en" w:eastAsia="en-GB"/>
        </w:rPr>
        <w:t xml:space="preserve"> then the ‘March </w:t>
      </w:r>
      <w:proofErr w:type="gramStart"/>
      <w:r w:rsidRPr="00BA6690">
        <w:rPr>
          <w:rFonts w:eastAsia="Arial"/>
          <w:color w:val="333333"/>
          <w:sz w:val="24"/>
          <w:szCs w:val="24"/>
          <w:lang w:val="en" w:eastAsia="en-GB"/>
        </w:rPr>
        <w:t>For</w:t>
      </w:r>
      <w:proofErr w:type="gramEnd"/>
      <w:r w:rsidRPr="00BA6690">
        <w:rPr>
          <w:rFonts w:eastAsia="Arial"/>
          <w:color w:val="333333"/>
          <w:sz w:val="24"/>
          <w:szCs w:val="24"/>
          <w:lang w:val="en" w:eastAsia="en-GB"/>
        </w:rPr>
        <w:t xml:space="preserve"> Humanity’ would no longer be an </w:t>
      </w:r>
      <w:proofErr w:type="spellStart"/>
      <w:r w:rsidRPr="00BA6690">
        <w:rPr>
          <w:rFonts w:eastAsia="Arial"/>
          <w:color w:val="333333"/>
          <w:sz w:val="24"/>
          <w:szCs w:val="24"/>
          <w:lang w:val="en" w:eastAsia="en-GB"/>
        </w:rPr>
        <w:t>authorised</w:t>
      </w:r>
      <w:proofErr w:type="spellEnd"/>
      <w:r w:rsidRPr="00BA6690">
        <w:rPr>
          <w:rFonts w:eastAsia="Arial"/>
          <w:color w:val="333333"/>
          <w:sz w:val="24"/>
          <w:szCs w:val="24"/>
          <w:lang w:val="en" w:eastAsia="en-GB"/>
        </w:rPr>
        <w:t xml:space="preserve"> public assembly. The main arguments presented in the affidavits concerned public safety, disruption to traffic, inadequate preparation time, the capacity of the assembly meeting point and terrorism risks. </w:t>
      </w:r>
    </w:p>
    <w:p w14:paraId="3A8DFBA0" w14:textId="5FCFD7D9" w:rsidR="00320DCC" w:rsidRPr="00BA6690" w:rsidRDefault="00320DCC" w:rsidP="00736735">
      <w:pPr>
        <w:rPr>
          <w:rFonts w:eastAsia="Arial"/>
          <w:color w:val="333333"/>
          <w:sz w:val="24"/>
          <w:szCs w:val="24"/>
          <w:lang w:val="en" w:eastAsia="en-GB"/>
        </w:rPr>
      </w:pPr>
      <w:r w:rsidRPr="00BA6690">
        <w:rPr>
          <w:rFonts w:eastAsia="Arial"/>
          <w:color w:val="333333"/>
          <w:sz w:val="24"/>
          <w:szCs w:val="24"/>
          <w:lang w:val="en" w:eastAsia="en-GB"/>
        </w:rPr>
        <w:t xml:space="preserve">On the contrary, the defendant was optimistic and firm on his stance that the march would be conducted in a safe and orderly manner. The defendant and his team presented evidence of the Palestine action groups successful and lawful protest history </w:t>
      </w:r>
      <w:proofErr w:type="gramStart"/>
      <w:r w:rsidRPr="00BA6690">
        <w:rPr>
          <w:rFonts w:eastAsia="Arial"/>
          <w:color w:val="333333"/>
          <w:sz w:val="24"/>
          <w:szCs w:val="24"/>
          <w:lang w:val="en" w:eastAsia="en-GB"/>
        </w:rPr>
        <w:t>in order to</w:t>
      </w:r>
      <w:proofErr w:type="gramEnd"/>
      <w:r w:rsidRPr="00BA6690">
        <w:rPr>
          <w:rFonts w:eastAsia="Arial"/>
          <w:color w:val="333333"/>
          <w:sz w:val="24"/>
          <w:szCs w:val="24"/>
          <w:lang w:val="en" w:eastAsia="en-GB"/>
        </w:rPr>
        <w:t xml:space="preserve"> support their </w:t>
      </w:r>
      <w:proofErr w:type="spellStart"/>
      <w:r w:rsidRPr="00BA6690">
        <w:rPr>
          <w:rFonts w:eastAsia="Arial"/>
          <w:color w:val="333333"/>
          <w:sz w:val="24"/>
          <w:szCs w:val="24"/>
          <w:lang w:val="en" w:eastAsia="en-GB"/>
        </w:rPr>
        <w:t>defen</w:t>
      </w:r>
      <w:r w:rsidR="00736735">
        <w:rPr>
          <w:rFonts w:eastAsia="Arial"/>
          <w:color w:val="333333"/>
          <w:sz w:val="24"/>
          <w:szCs w:val="24"/>
          <w:lang w:val="en" w:eastAsia="en-GB"/>
        </w:rPr>
        <w:t>c</w:t>
      </w:r>
      <w:r w:rsidRPr="00BA6690">
        <w:rPr>
          <w:rFonts w:eastAsia="Arial"/>
          <w:color w:val="333333"/>
          <w:sz w:val="24"/>
          <w:szCs w:val="24"/>
          <w:lang w:val="en" w:eastAsia="en-GB"/>
        </w:rPr>
        <w:t>e</w:t>
      </w:r>
      <w:proofErr w:type="spellEnd"/>
      <w:r w:rsidRPr="00BA6690">
        <w:rPr>
          <w:rFonts w:eastAsia="Arial"/>
          <w:color w:val="333333"/>
          <w:sz w:val="24"/>
          <w:szCs w:val="24"/>
          <w:lang w:val="en" w:eastAsia="en-GB"/>
        </w:rPr>
        <w:t>. Since the group's foundation in October 2023, the defendant has been involved in over 85 successful protests which had minimal incidents.</w:t>
      </w:r>
      <w:r w:rsidRPr="00BA6690">
        <w:rPr>
          <w:rFonts w:eastAsia="Arial"/>
          <w:color w:val="333333"/>
          <w:sz w:val="24"/>
          <w:szCs w:val="24"/>
          <w:vertAlign w:val="superscript"/>
          <w:lang w:val="en" w:eastAsia="en-GB"/>
        </w:rPr>
        <w:footnoteReference w:id="5"/>
      </w:r>
      <w:r w:rsidRPr="00BA6690">
        <w:rPr>
          <w:rFonts w:eastAsia="Arial"/>
          <w:color w:val="333333"/>
          <w:sz w:val="24"/>
          <w:szCs w:val="24"/>
          <w:lang w:val="en" w:eastAsia="en-GB"/>
        </w:rPr>
        <w:t xml:space="preserve"> Furthermore, the group have always had an active and positive relationship with police when </w:t>
      </w:r>
      <w:proofErr w:type="spellStart"/>
      <w:r w:rsidRPr="00BA6690">
        <w:rPr>
          <w:rFonts w:eastAsia="Arial"/>
          <w:color w:val="333333"/>
          <w:sz w:val="24"/>
          <w:szCs w:val="24"/>
          <w:lang w:val="en" w:eastAsia="en-GB"/>
        </w:rPr>
        <w:t>organising</w:t>
      </w:r>
      <w:proofErr w:type="spellEnd"/>
      <w:r w:rsidRPr="00BA6690">
        <w:rPr>
          <w:rFonts w:eastAsia="Arial"/>
          <w:color w:val="333333"/>
          <w:sz w:val="24"/>
          <w:szCs w:val="24"/>
          <w:lang w:val="en" w:eastAsia="en-GB"/>
        </w:rPr>
        <w:t xml:space="preserve"> events or resolving minor incidents, In addition to </w:t>
      </w:r>
      <w:r w:rsidRPr="00BA6690">
        <w:rPr>
          <w:rFonts w:eastAsia="Arial"/>
          <w:color w:val="333333"/>
          <w:sz w:val="24"/>
          <w:szCs w:val="24"/>
          <w:lang w:val="en" w:eastAsia="en-GB"/>
        </w:rPr>
        <w:lastRenderedPageBreak/>
        <w:t>this, the defendant outlined how they had arranged 100 high-visibility vest marshals to sustain order and safety during the march.</w:t>
      </w:r>
      <w:r w:rsidRPr="00BA6690">
        <w:rPr>
          <w:rFonts w:eastAsia="Arial"/>
          <w:color w:val="333333"/>
          <w:sz w:val="24"/>
          <w:szCs w:val="24"/>
          <w:vertAlign w:val="superscript"/>
          <w:lang w:val="en" w:eastAsia="en-GB"/>
        </w:rPr>
        <w:footnoteReference w:id="6"/>
      </w:r>
      <w:r w:rsidRPr="00BA6690">
        <w:rPr>
          <w:rFonts w:eastAsia="Arial"/>
          <w:color w:val="333333"/>
          <w:sz w:val="24"/>
          <w:szCs w:val="24"/>
          <w:lang w:val="en" w:eastAsia="en-GB"/>
        </w:rPr>
        <w:t xml:space="preserve"> Finally, the defendant stated how even if the supreme court issues a prohibition order, a multitude of protestors would still gather on the date and proceed with the public assembly. To support the claim that prohibition won’t deter attendance, the defendant </w:t>
      </w:r>
      <w:proofErr w:type="gramStart"/>
      <w:r w:rsidRPr="00BA6690">
        <w:rPr>
          <w:rFonts w:eastAsia="Arial"/>
          <w:color w:val="333333"/>
          <w:sz w:val="24"/>
          <w:szCs w:val="24"/>
          <w:lang w:val="en" w:eastAsia="en-GB"/>
        </w:rPr>
        <w:t>made reference</w:t>
      </w:r>
      <w:proofErr w:type="gramEnd"/>
      <w:r w:rsidRPr="00BA6690">
        <w:rPr>
          <w:rFonts w:eastAsia="Arial"/>
          <w:color w:val="333333"/>
          <w:sz w:val="24"/>
          <w:szCs w:val="24"/>
          <w:lang w:val="en" w:eastAsia="en-GB"/>
        </w:rPr>
        <w:t xml:space="preserve"> to Bassi v Commissioner of Police [2020] NSWCA where 20,000 people turned up to a protest </w:t>
      </w:r>
      <w:proofErr w:type="gramStart"/>
      <w:r w:rsidRPr="00BA6690">
        <w:rPr>
          <w:rFonts w:eastAsia="Arial"/>
          <w:color w:val="333333"/>
          <w:sz w:val="24"/>
          <w:szCs w:val="24"/>
          <w:lang w:val="en" w:eastAsia="en-GB"/>
        </w:rPr>
        <w:t>despite the fact that</w:t>
      </w:r>
      <w:proofErr w:type="gramEnd"/>
      <w:r w:rsidRPr="00BA6690">
        <w:rPr>
          <w:rFonts w:eastAsia="Arial"/>
          <w:color w:val="333333"/>
          <w:sz w:val="24"/>
          <w:szCs w:val="24"/>
          <w:lang w:val="en" w:eastAsia="en-GB"/>
        </w:rPr>
        <w:t xml:space="preserve"> it had not been </w:t>
      </w:r>
      <w:proofErr w:type="spellStart"/>
      <w:r w:rsidRPr="00BA6690">
        <w:rPr>
          <w:rFonts w:eastAsia="Arial"/>
          <w:color w:val="333333"/>
          <w:sz w:val="24"/>
          <w:szCs w:val="24"/>
          <w:lang w:val="en" w:eastAsia="en-GB"/>
        </w:rPr>
        <w:t>authorised</w:t>
      </w:r>
      <w:proofErr w:type="spellEnd"/>
      <w:r w:rsidRPr="00BA6690">
        <w:rPr>
          <w:rFonts w:eastAsia="Arial"/>
          <w:color w:val="333333"/>
          <w:sz w:val="24"/>
          <w:szCs w:val="24"/>
          <w:lang w:val="en" w:eastAsia="en-GB"/>
        </w:rPr>
        <w:t xml:space="preserve"> yet.</w:t>
      </w:r>
      <w:r w:rsidRPr="00BA6690">
        <w:rPr>
          <w:rFonts w:eastAsia="Arial"/>
          <w:color w:val="333333"/>
          <w:sz w:val="24"/>
          <w:szCs w:val="24"/>
          <w:vertAlign w:val="superscript"/>
          <w:lang w:val="en" w:eastAsia="en-GB"/>
        </w:rPr>
        <w:footnoteReference w:id="7"/>
      </w:r>
      <w:r w:rsidRPr="00BA6690">
        <w:rPr>
          <w:rFonts w:eastAsia="Arial"/>
          <w:color w:val="333333"/>
          <w:sz w:val="24"/>
          <w:szCs w:val="24"/>
          <w:lang w:val="en" w:eastAsia="en-GB"/>
        </w:rPr>
        <w:t xml:space="preserve"> </w:t>
      </w:r>
    </w:p>
    <w:p w14:paraId="00D5A216" w14:textId="1E41DD34" w:rsidR="00320DCC" w:rsidRPr="00736735" w:rsidRDefault="00320DCC" w:rsidP="00736735">
      <w:pPr>
        <w:spacing w:line="276" w:lineRule="auto"/>
        <w:jc w:val="center"/>
        <w:rPr>
          <w:rFonts w:eastAsia="Merriweather ExtraBold"/>
          <w:color w:val="215E99" w:themeColor="text2" w:themeTint="BF"/>
          <w:sz w:val="28"/>
          <w:szCs w:val="28"/>
          <w:lang w:val="en" w:eastAsia="en-GB"/>
        </w:rPr>
      </w:pPr>
      <w:r w:rsidRPr="00C939FF">
        <w:rPr>
          <w:rFonts w:eastAsia="Merriweather ExtraBold"/>
          <w:color w:val="215E99" w:themeColor="text2" w:themeTint="BF"/>
          <w:sz w:val="28"/>
          <w:szCs w:val="28"/>
          <w:lang w:val="en" w:eastAsia="en-GB"/>
        </w:rPr>
        <w:t>III LEGAL ISSUES</w:t>
      </w:r>
    </w:p>
    <w:p w14:paraId="0DB1672F" w14:textId="3B9BF458" w:rsidR="00320DCC" w:rsidRPr="00BA6690" w:rsidRDefault="00320DCC" w:rsidP="00736735">
      <w:pPr>
        <w:rPr>
          <w:rFonts w:eastAsia="Arial"/>
          <w:color w:val="333333"/>
          <w:sz w:val="24"/>
          <w:szCs w:val="24"/>
          <w:lang w:val="en" w:eastAsia="en-GB"/>
        </w:rPr>
      </w:pPr>
      <w:r w:rsidRPr="00BA6690">
        <w:rPr>
          <w:rFonts w:eastAsia="Arial"/>
          <w:color w:val="333333"/>
          <w:sz w:val="24"/>
          <w:szCs w:val="24"/>
          <w:lang w:val="en" w:eastAsia="en-GB"/>
        </w:rPr>
        <w:t xml:space="preserve">The key legal issue that the case revolved around concerned the terminology under section 25 of the Summary Offences Act 1988 (NSW) which is the ‘Prohibition by a Court of a public assembly’. A court order under section 25 does not actually prohibit or make a public assembly illegal due to the implied right to freedom of political communication under the Australia constitution. The court clarified that an </w:t>
      </w:r>
      <w:proofErr w:type="spellStart"/>
      <w:r w:rsidRPr="00BA6690">
        <w:rPr>
          <w:rFonts w:eastAsia="Arial"/>
          <w:color w:val="333333"/>
          <w:sz w:val="24"/>
          <w:szCs w:val="24"/>
          <w:lang w:val="en" w:eastAsia="en-GB"/>
        </w:rPr>
        <w:t>unauthorised</w:t>
      </w:r>
      <w:proofErr w:type="spellEnd"/>
      <w:r w:rsidRPr="00BA6690">
        <w:rPr>
          <w:rFonts w:eastAsia="Arial"/>
          <w:color w:val="333333"/>
          <w:sz w:val="24"/>
          <w:szCs w:val="24"/>
          <w:lang w:val="en" w:eastAsia="en-GB"/>
        </w:rPr>
        <w:t xml:space="preserve"> public assembly is not unlawful, although it does come with the consequence of making the immunity and special privileges given to protestors by section 24 invalid.</w:t>
      </w:r>
      <w:r w:rsidRPr="00BA6690">
        <w:rPr>
          <w:rFonts w:eastAsia="Arial"/>
          <w:color w:val="333333"/>
          <w:sz w:val="24"/>
          <w:szCs w:val="24"/>
          <w:vertAlign w:val="superscript"/>
          <w:lang w:val="en" w:eastAsia="en-GB"/>
        </w:rPr>
        <w:footnoteReference w:id="8"/>
      </w:r>
      <w:r w:rsidRPr="00BA6690">
        <w:rPr>
          <w:rFonts w:eastAsia="Arial"/>
          <w:color w:val="333333"/>
          <w:sz w:val="24"/>
          <w:szCs w:val="24"/>
          <w:lang w:val="en" w:eastAsia="en-GB"/>
        </w:rPr>
        <w:t xml:space="preserve"> The main legal issue became a matter of whether the court would take away </w:t>
      </w:r>
      <w:proofErr w:type="gramStart"/>
      <w:r w:rsidRPr="00BA6690">
        <w:rPr>
          <w:rFonts w:eastAsia="Arial"/>
          <w:color w:val="333333"/>
          <w:sz w:val="24"/>
          <w:szCs w:val="24"/>
          <w:lang w:val="en" w:eastAsia="en-GB"/>
        </w:rPr>
        <w:t>protestors</w:t>
      </w:r>
      <w:proofErr w:type="gramEnd"/>
      <w:r w:rsidRPr="00BA6690">
        <w:rPr>
          <w:rFonts w:eastAsia="Arial"/>
          <w:color w:val="333333"/>
          <w:sz w:val="24"/>
          <w:szCs w:val="24"/>
          <w:lang w:val="en" w:eastAsia="en-GB"/>
        </w:rPr>
        <w:t xml:space="preserve"> immunity or not.</w:t>
      </w:r>
    </w:p>
    <w:p w14:paraId="73F78F62" w14:textId="2460BFA2" w:rsidR="00320DCC" w:rsidRPr="00736735" w:rsidRDefault="00320DCC" w:rsidP="00736735">
      <w:pPr>
        <w:jc w:val="center"/>
        <w:rPr>
          <w:rFonts w:eastAsia="Merriweather ExtraBold"/>
          <w:color w:val="215E99" w:themeColor="text2" w:themeTint="BF"/>
          <w:sz w:val="28"/>
          <w:szCs w:val="28"/>
          <w:lang w:val="en" w:eastAsia="en-GB"/>
        </w:rPr>
      </w:pPr>
      <w:r w:rsidRPr="00C939FF">
        <w:rPr>
          <w:rFonts w:eastAsia="Merriweather ExtraBold"/>
          <w:color w:val="215E99" w:themeColor="text2" w:themeTint="BF"/>
          <w:sz w:val="28"/>
          <w:szCs w:val="28"/>
          <w:lang w:val="en" w:eastAsia="en-GB"/>
        </w:rPr>
        <w:t>IV THE DECISION</w:t>
      </w:r>
    </w:p>
    <w:p w14:paraId="13EA01CB" w14:textId="4E65462C" w:rsidR="00320DCC" w:rsidRPr="00BA6690" w:rsidRDefault="00320DCC" w:rsidP="00736735">
      <w:pPr>
        <w:rPr>
          <w:rFonts w:eastAsia="Arial"/>
          <w:color w:val="333333"/>
          <w:sz w:val="24"/>
          <w:szCs w:val="24"/>
          <w:lang w:val="en" w:eastAsia="en-GB"/>
        </w:rPr>
      </w:pPr>
      <w:r w:rsidRPr="00BA6690">
        <w:rPr>
          <w:rFonts w:eastAsia="Arial"/>
          <w:color w:val="333333"/>
          <w:sz w:val="24"/>
          <w:szCs w:val="24"/>
          <w:lang w:val="en" w:eastAsia="en-GB"/>
        </w:rPr>
        <w:t>On the 2nd of August 2025, Justice Rigg refused to approve the plaintiff’s application for a prohibition order and dismissed the summons. Justice Rigg stated, “</w:t>
      </w:r>
      <w:r w:rsidRPr="00BA6690">
        <w:rPr>
          <w:rFonts w:eastAsia="Roboto"/>
          <w:color w:val="333333"/>
          <w:sz w:val="24"/>
          <w:szCs w:val="24"/>
          <w:highlight w:val="white"/>
          <w:lang w:val="en" w:eastAsia="en-GB"/>
        </w:rPr>
        <w:t>Had there been evidence suggesting that public safety will be enhanced by a prohibition order that would also have been an important factor in my consideration; but there is no such evidence.”</w:t>
      </w:r>
      <w:r w:rsidRPr="00BA6690">
        <w:rPr>
          <w:rFonts w:eastAsia="Roboto"/>
          <w:color w:val="333333"/>
          <w:sz w:val="24"/>
          <w:szCs w:val="24"/>
          <w:highlight w:val="white"/>
          <w:vertAlign w:val="superscript"/>
          <w:lang w:val="en" w:eastAsia="en-GB"/>
        </w:rPr>
        <w:footnoteReference w:id="9"/>
      </w:r>
      <w:r w:rsidRPr="00BA6690">
        <w:rPr>
          <w:rFonts w:eastAsia="Roboto"/>
          <w:color w:val="333333"/>
          <w:sz w:val="24"/>
          <w:szCs w:val="24"/>
          <w:highlight w:val="white"/>
          <w:lang w:val="en" w:eastAsia="en-GB"/>
        </w:rPr>
        <w:t xml:space="preserve"> Following this decision there was no appeal from the plaintiff and the march for humanity proceeded the next day as planned. </w:t>
      </w:r>
    </w:p>
    <w:p w14:paraId="040DF12D" w14:textId="68F9B36D" w:rsidR="00320DCC" w:rsidRPr="00736735" w:rsidRDefault="00320DCC" w:rsidP="00736735">
      <w:pPr>
        <w:jc w:val="center"/>
        <w:rPr>
          <w:rFonts w:eastAsia="Merriweather ExtraBold"/>
          <w:color w:val="215E99" w:themeColor="text2" w:themeTint="BF"/>
          <w:sz w:val="28"/>
          <w:szCs w:val="28"/>
          <w:lang w:val="en" w:eastAsia="en-GB"/>
        </w:rPr>
      </w:pPr>
      <w:r w:rsidRPr="00C939FF">
        <w:rPr>
          <w:rFonts w:eastAsia="Merriweather ExtraBold"/>
          <w:color w:val="215E99" w:themeColor="text2" w:themeTint="BF"/>
          <w:sz w:val="28"/>
          <w:szCs w:val="28"/>
          <w:lang w:val="en" w:eastAsia="en-GB"/>
        </w:rPr>
        <w:t>V REASONS FOR THE DECISION</w:t>
      </w:r>
    </w:p>
    <w:p w14:paraId="1E90E2ED" w14:textId="2B60362B" w:rsidR="00320DCC" w:rsidRPr="00BA6690" w:rsidRDefault="00320DCC" w:rsidP="00736735">
      <w:pPr>
        <w:rPr>
          <w:rFonts w:eastAsia="Arial"/>
          <w:color w:val="333333"/>
          <w:sz w:val="24"/>
          <w:szCs w:val="24"/>
          <w:lang w:val="en" w:eastAsia="en-GB"/>
        </w:rPr>
      </w:pPr>
      <w:r w:rsidRPr="00BA6690">
        <w:rPr>
          <w:rFonts w:eastAsia="Arial"/>
          <w:color w:val="333333"/>
          <w:sz w:val="24"/>
          <w:szCs w:val="24"/>
          <w:lang w:val="en" w:eastAsia="en-GB"/>
        </w:rPr>
        <w:t xml:space="preserve">There were three main reasons for the decision, the first leading reason was the foresight that the protest on the 3rd was inevitably going to occur and the bridge will be closed regardless of the decision. Uncertainty comes with risks, hence why it is more effective to </w:t>
      </w:r>
      <w:proofErr w:type="spellStart"/>
      <w:r w:rsidRPr="00BA6690">
        <w:rPr>
          <w:rFonts w:eastAsia="Arial"/>
          <w:color w:val="333333"/>
          <w:sz w:val="24"/>
          <w:szCs w:val="24"/>
          <w:lang w:val="en" w:eastAsia="en-GB"/>
        </w:rPr>
        <w:t>authorise</w:t>
      </w:r>
      <w:proofErr w:type="spellEnd"/>
      <w:r w:rsidRPr="00BA6690">
        <w:rPr>
          <w:rFonts w:eastAsia="Arial"/>
          <w:color w:val="333333"/>
          <w:sz w:val="24"/>
          <w:szCs w:val="24"/>
          <w:lang w:val="en" w:eastAsia="en-GB"/>
        </w:rPr>
        <w:t xml:space="preserve"> the assembly which would mitigate risks, sustain an </w:t>
      </w:r>
      <w:proofErr w:type="spellStart"/>
      <w:r w:rsidRPr="00BA6690">
        <w:rPr>
          <w:rFonts w:eastAsia="Arial"/>
          <w:color w:val="333333"/>
          <w:sz w:val="24"/>
          <w:szCs w:val="24"/>
          <w:lang w:val="en" w:eastAsia="en-GB"/>
        </w:rPr>
        <w:t>organised</w:t>
      </w:r>
      <w:proofErr w:type="spellEnd"/>
      <w:r w:rsidRPr="00BA6690">
        <w:rPr>
          <w:rFonts w:eastAsia="Arial"/>
          <w:color w:val="333333"/>
          <w:sz w:val="24"/>
          <w:szCs w:val="24"/>
          <w:lang w:val="en" w:eastAsia="en-GB"/>
        </w:rPr>
        <w:t xml:space="preserve"> structure, and give authorities a better chance of preparing. Additionally, </w:t>
      </w:r>
      <w:proofErr w:type="spellStart"/>
      <w:r w:rsidRPr="00BA6690">
        <w:rPr>
          <w:rFonts w:eastAsia="Arial"/>
          <w:color w:val="333333"/>
          <w:sz w:val="24"/>
          <w:szCs w:val="24"/>
          <w:lang w:val="en" w:eastAsia="en-GB"/>
        </w:rPr>
        <w:t>authorisation</w:t>
      </w:r>
      <w:proofErr w:type="spellEnd"/>
      <w:r w:rsidRPr="00BA6690">
        <w:rPr>
          <w:rFonts w:eastAsia="Arial"/>
          <w:color w:val="333333"/>
          <w:sz w:val="24"/>
          <w:szCs w:val="24"/>
          <w:lang w:val="en" w:eastAsia="en-GB"/>
        </w:rPr>
        <w:t xml:space="preserve"> will sustain the special privileges given to protestors under </w:t>
      </w:r>
      <w:r w:rsidRPr="00BA6690">
        <w:rPr>
          <w:rFonts w:eastAsia="Arial"/>
          <w:color w:val="333333"/>
          <w:sz w:val="24"/>
          <w:szCs w:val="24"/>
          <w:lang w:val="en" w:eastAsia="en-GB"/>
        </w:rPr>
        <w:lastRenderedPageBreak/>
        <w:t xml:space="preserve">section 24 of the Summary Offences Act 1988 (NSW) which prevents police from arresting protestors who block vehicle and pedestrian traffic whilst also reducing arrest rates. The court also affirmed that the police force has extensive powers under the </w:t>
      </w:r>
      <w:r w:rsidRPr="00BA6690">
        <w:rPr>
          <w:rFonts w:eastAsia="Arial"/>
          <w:color w:val="333333"/>
          <w:sz w:val="24"/>
          <w:szCs w:val="24"/>
          <w:highlight w:val="white"/>
          <w:lang w:val="en" w:eastAsia="en-GB"/>
        </w:rPr>
        <w:t xml:space="preserve">Law Enforcement (Powers and Responsibilities) Act 2002 (NSW) which enables them to sufficiently handle incidents from both </w:t>
      </w:r>
      <w:proofErr w:type="spellStart"/>
      <w:r w:rsidRPr="00BA6690">
        <w:rPr>
          <w:rFonts w:eastAsia="Arial"/>
          <w:color w:val="333333"/>
          <w:sz w:val="24"/>
          <w:szCs w:val="24"/>
          <w:highlight w:val="white"/>
          <w:lang w:val="en" w:eastAsia="en-GB"/>
        </w:rPr>
        <w:t>authorised</w:t>
      </w:r>
      <w:proofErr w:type="spellEnd"/>
      <w:r w:rsidRPr="00BA6690">
        <w:rPr>
          <w:rFonts w:eastAsia="Arial"/>
          <w:color w:val="333333"/>
          <w:sz w:val="24"/>
          <w:szCs w:val="24"/>
          <w:highlight w:val="white"/>
          <w:lang w:val="en" w:eastAsia="en-GB"/>
        </w:rPr>
        <w:t xml:space="preserve"> and </w:t>
      </w:r>
      <w:proofErr w:type="spellStart"/>
      <w:r w:rsidRPr="00BA6690">
        <w:rPr>
          <w:rFonts w:eastAsia="Arial"/>
          <w:color w:val="333333"/>
          <w:sz w:val="24"/>
          <w:szCs w:val="24"/>
          <w:highlight w:val="white"/>
          <w:lang w:val="en" w:eastAsia="en-GB"/>
        </w:rPr>
        <w:t>unauthorised</w:t>
      </w:r>
      <w:proofErr w:type="spellEnd"/>
      <w:r w:rsidRPr="00BA6690">
        <w:rPr>
          <w:rFonts w:eastAsia="Arial"/>
          <w:color w:val="333333"/>
          <w:sz w:val="24"/>
          <w:szCs w:val="24"/>
          <w:highlight w:val="white"/>
          <w:lang w:val="en" w:eastAsia="en-GB"/>
        </w:rPr>
        <w:t xml:space="preserve"> protests. </w:t>
      </w:r>
      <w:proofErr w:type="gramStart"/>
      <w:r w:rsidRPr="00BA6690">
        <w:rPr>
          <w:rFonts w:eastAsia="Arial"/>
          <w:color w:val="333333"/>
          <w:sz w:val="24"/>
          <w:szCs w:val="24"/>
          <w:lang w:val="en" w:eastAsia="en-GB"/>
        </w:rPr>
        <w:t>Finally</w:t>
      </w:r>
      <w:proofErr w:type="gramEnd"/>
      <w:r w:rsidRPr="00BA6690">
        <w:rPr>
          <w:rFonts w:eastAsia="Arial"/>
          <w:color w:val="333333"/>
          <w:sz w:val="24"/>
          <w:szCs w:val="24"/>
          <w:lang w:val="en" w:eastAsia="en-GB"/>
        </w:rPr>
        <w:t xml:space="preserve"> the court took into consideration that prohibiting the assembly could significantly increase the number of protestors. With this foresight in consideration, the plaintiff was unable to provide evidence that indicated how prohibition would reduce risks to public safety. </w:t>
      </w:r>
    </w:p>
    <w:p w14:paraId="3D740C23" w14:textId="250AC7BF" w:rsidR="00320DCC" w:rsidRPr="00BA6690" w:rsidRDefault="00320DCC" w:rsidP="00736735">
      <w:pPr>
        <w:rPr>
          <w:rFonts w:eastAsia="Arial"/>
          <w:color w:val="333333"/>
          <w:sz w:val="24"/>
          <w:szCs w:val="24"/>
          <w:highlight w:val="white"/>
          <w:lang w:val="en" w:eastAsia="en-GB"/>
        </w:rPr>
      </w:pPr>
      <w:r w:rsidRPr="00BA6690">
        <w:rPr>
          <w:rFonts w:eastAsia="Arial"/>
          <w:color w:val="333333"/>
          <w:sz w:val="24"/>
          <w:szCs w:val="24"/>
          <w:lang w:val="en" w:eastAsia="en-GB"/>
        </w:rPr>
        <w:t xml:space="preserve">The second vital reason for the decision was the court's acknowledgement of the Palestine Action Groups cooperative, prosocial, and lawful history. The defendants presented a large amount of evidence relating to the success and professionalism of </w:t>
      </w:r>
      <w:proofErr w:type="spellStart"/>
      <w:r w:rsidRPr="00BA6690">
        <w:rPr>
          <w:rFonts w:eastAsia="Arial"/>
          <w:color w:val="333333"/>
          <w:sz w:val="24"/>
          <w:szCs w:val="24"/>
          <w:lang w:val="en" w:eastAsia="en-GB"/>
        </w:rPr>
        <w:t>organisers</w:t>
      </w:r>
      <w:proofErr w:type="spellEnd"/>
      <w:r w:rsidRPr="00BA6690">
        <w:rPr>
          <w:rFonts w:eastAsia="Arial"/>
          <w:color w:val="333333"/>
          <w:sz w:val="24"/>
          <w:szCs w:val="24"/>
          <w:lang w:val="en" w:eastAsia="en-GB"/>
        </w:rPr>
        <w:t xml:space="preserve"> and marshals in past assemblies which Justice Rigg deemed to be important. In her decision, Justice Rigg expressed confidence that the Palestine Action Group “</w:t>
      </w:r>
      <w:r w:rsidRPr="00BA6690">
        <w:rPr>
          <w:rFonts w:eastAsia="Arial"/>
          <w:color w:val="333333"/>
          <w:sz w:val="24"/>
          <w:szCs w:val="24"/>
          <w:highlight w:val="white"/>
          <w:lang w:val="en" w:eastAsia="en-GB"/>
        </w:rPr>
        <w:t>will continue to work constructively with police to achieve as safe and smooth an event as possible.”</w:t>
      </w:r>
      <w:r w:rsidRPr="00BA6690">
        <w:rPr>
          <w:rFonts w:eastAsia="Arial"/>
          <w:color w:val="333333"/>
          <w:sz w:val="24"/>
          <w:szCs w:val="24"/>
          <w:highlight w:val="white"/>
          <w:vertAlign w:val="superscript"/>
          <w:lang w:val="en" w:eastAsia="en-GB"/>
        </w:rPr>
        <w:footnoteReference w:id="10"/>
      </w:r>
    </w:p>
    <w:p w14:paraId="00750651" w14:textId="1F05D5BA" w:rsidR="00320DCC" w:rsidRPr="00736735" w:rsidRDefault="00320DCC" w:rsidP="00736735">
      <w:pPr>
        <w:rPr>
          <w:rFonts w:eastAsia="Arial"/>
          <w:color w:val="333333"/>
          <w:sz w:val="24"/>
          <w:szCs w:val="24"/>
          <w:highlight w:val="white"/>
          <w:lang w:val="en" w:eastAsia="en-GB"/>
        </w:rPr>
      </w:pPr>
      <w:r w:rsidRPr="00BA6690">
        <w:rPr>
          <w:rFonts w:eastAsia="Arial"/>
          <w:color w:val="333333"/>
          <w:sz w:val="24"/>
          <w:szCs w:val="24"/>
          <w:highlight w:val="white"/>
          <w:lang w:val="en" w:eastAsia="en-GB"/>
        </w:rPr>
        <w:t xml:space="preserve">The final key reason for the decision was the consideration of public interests. There was a heavy emphasis placed on the social importance of proceeding with the march promptly as the timing corresponded with recent escalations in the Gaza humanitarian crisis. Justice Rigg agreed with the defendant’s case which stated that the new momentum was an imperative time for humanitarian advocacy. Finally, the court also </w:t>
      </w:r>
      <w:proofErr w:type="gramStart"/>
      <w:r w:rsidRPr="00BA6690">
        <w:rPr>
          <w:rFonts w:eastAsia="Arial"/>
          <w:color w:val="333333"/>
          <w:sz w:val="24"/>
          <w:szCs w:val="24"/>
          <w:highlight w:val="white"/>
          <w:lang w:val="en" w:eastAsia="en-GB"/>
        </w:rPr>
        <w:t>made reference</w:t>
      </w:r>
      <w:proofErr w:type="gramEnd"/>
      <w:r w:rsidRPr="00BA6690">
        <w:rPr>
          <w:rFonts w:eastAsia="Arial"/>
          <w:color w:val="333333"/>
          <w:sz w:val="24"/>
          <w:szCs w:val="24"/>
          <w:highlight w:val="white"/>
          <w:lang w:val="en" w:eastAsia="en-GB"/>
        </w:rPr>
        <w:t xml:space="preserve"> to the importance of freedom of expression and how that is what the public desires and needs at this crucial moment of time. </w:t>
      </w:r>
    </w:p>
    <w:p w14:paraId="5B74842E" w14:textId="299D9FBD" w:rsidR="00320DCC" w:rsidRPr="00736735" w:rsidRDefault="00320DCC" w:rsidP="00736735">
      <w:pPr>
        <w:jc w:val="center"/>
        <w:rPr>
          <w:rFonts w:eastAsia="Merriweather ExtraBold"/>
          <w:color w:val="215E99" w:themeColor="text2" w:themeTint="BF"/>
          <w:sz w:val="28"/>
          <w:szCs w:val="28"/>
          <w:lang w:val="en" w:eastAsia="en-GB"/>
        </w:rPr>
      </w:pPr>
      <w:r w:rsidRPr="00C939FF">
        <w:rPr>
          <w:rFonts w:eastAsia="Merriweather ExtraBold"/>
          <w:color w:val="215E99" w:themeColor="text2" w:themeTint="BF"/>
          <w:sz w:val="28"/>
          <w:szCs w:val="28"/>
          <w:lang w:val="en" w:eastAsia="en-GB"/>
        </w:rPr>
        <w:t>VI IMPLICATIONS OF THE DECISION</w:t>
      </w:r>
    </w:p>
    <w:p w14:paraId="6695B61E" w14:textId="61C48A38" w:rsidR="00FD42E0" w:rsidRPr="00736735" w:rsidRDefault="00320DCC" w:rsidP="00736735">
      <w:pPr>
        <w:rPr>
          <w:rFonts w:eastAsia="Arial"/>
          <w:color w:val="333333"/>
          <w:sz w:val="24"/>
          <w:szCs w:val="24"/>
          <w:lang w:val="en" w:eastAsia="en-GB"/>
        </w:rPr>
      </w:pPr>
      <w:r w:rsidRPr="00BA6690">
        <w:rPr>
          <w:rFonts w:eastAsia="Arial"/>
          <w:color w:val="333333"/>
          <w:sz w:val="24"/>
          <w:szCs w:val="24"/>
          <w:lang w:val="en" w:eastAsia="en-GB"/>
        </w:rPr>
        <w:t xml:space="preserve">The court's decision displayed how the Australian constitution's separation of powers doctrine upholds the rule of law and enforces international human rights documents domestically. The case also gave an insight into the importance of balancing interests of many different parties including the plaintiff, defendant, and </w:t>
      </w:r>
      <w:proofErr w:type="gramStart"/>
      <w:r w:rsidRPr="00BA6690">
        <w:rPr>
          <w:rFonts w:eastAsia="Arial"/>
          <w:color w:val="333333"/>
          <w:sz w:val="24"/>
          <w:szCs w:val="24"/>
          <w:lang w:val="en" w:eastAsia="en-GB"/>
        </w:rPr>
        <w:t>society as a whole</w:t>
      </w:r>
      <w:proofErr w:type="gramEnd"/>
      <w:r w:rsidRPr="00BA6690">
        <w:rPr>
          <w:rFonts w:eastAsia="Arial"/>
          <w:color w:val="333333"/>
          <w:sz w:val="24"/>
          <w:szCs w:val="24"/>
          <w:lang w:val="en" w:eastAsia="en-GB"/>
        </w:rPr>
        <w:t>. Finally</w:t>
      </w:r>
      <w:r w:rsidR="00736735">
        <w:rPr>
          <w:rFonts w:eastAsia="Arial"/>
          <w:color w:val="333333"/>
          <w:sz w:val="24"/>
          <w:szCs w:val="24"/>
          <w:lang w:val="en" w:eastAsia="en-GB"/>
        </w:rPr>
        <w:t xml:space="preserve">, </w:t>
      </w:r>
      <w:r w:rsidRPr="00BA6690">
        <w:rPr>
          <w:rFonts w:eastAsia="Arial"/>
          <w:color w:val="333333"/>
          <w:sz w:val="24"/>
          <w:szCs w:val="24"/>
          <w:lang w:val="en" w:eastAsia="en-GB"/>
        </w:rPr>
        <w:t>the case has created an opportunity for future discussion concerning the relevance of prohibition orders on public assemblies.</w:t>
      </w:r>
    </w:p>
    <w:p w14:paraId="21B70BA4" w14:textId="77777777" w:rsidR="001F059D" w:rsidRPr="00BA6690" w:rsidRDefault="001F059D" w:rsidP="001F059D">
      <w:pPr>
        <w:rPr>
          <w:sz w:val="24"/>
          <w:szCs w:val="24"/>
        </w:rPr>
      </w:pPr>
    </w:p>
    <w:p w14:paraId="54B204E1" w14:textId="439C9867" w:rsidR="000F108B" w:rsidRPr="00BA6690" w:rsidRDefault="000F108B" w:rsidP="001F059D">
      <w:pPr>
        <w:rPr>
          <w:sz w:val="24"/>
          <w:szCs w:val="24"/>
        </w:rPr>
      </w:pPr>
      <w:r w:rsidRPr="00BA6690">
        <w:rPr>
          <w:sz w:val="24"/>
          <w:szCs w:val="24"/>
        </w:rPr>
        <w:br w:type="page"/>
      </w:r>
    </w:p>
    <w:p w14:paraId="698F75F1" w14:textId="43415FF4" w:rsidR="000F108B" w:rsidRDefault="0008172E" w:rsidP="001F059D">
      <w:r>
        <w:rPr>
          <w:noProof/>
        </w:rPr>
        <w:lastRenderedPageBreak/>
        <mc:AlternateContent>
          <mc:Choice Requires="wpg">
            <w:drawing>
              <wp:anchor distT="0" distB="0" distL="114300" distR="114300" simplePos="0" relativeHeight="251666432" behindDoc="0" locked="0" layoutInCell="1" allowOverlap="1" wp14:anchorId="3E0AF44C" wp14:editId="665C97ED">
                <wp:simplePos x="0" y="0"/>
                <wp:positionH relativeFrom="column">
                  <wp:posOffset>-697523</wp:posOffset>
                </wp:positionH>
                <wp:positionV relativeFrom="paragraph">
                  <wp:posOffset>-920853</wp:posOffset>
                </wp:positionV>
                <wp:extent cx="7769915" cy="10885734"/>
                <wp:effectExtent l="0" t="0" r="15240" b="24130"/>
                <wp:wrapNone/>
                <wp:docPr id="797760558" name="Group 23"/>
                <wp:cNvGraphicFramePr/>
                <a:graphic xmlns:a="http://schemas.openxmlformats.org/drawingml/2006/main">
                  <a:graphicData uri="http://schemas.microsoft.com/office/word/2010/wordprocessingGroup">
                    <wpg:wgp>
                      <wpg:cNvGrpSpPr/>
                      <wpg:grpSpPr>
                        <a:xfrm>
                          <a:off x="0" y="0"/>
                          <a:ext cx="7769915" cy="10885734"/>
                          <a:chOff x="0" y="-6338"/>
                          <a:chExt cx="7769915" cy="10691166"/>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85711" y="-6338"/>
                            <a:ext cx="3630966" cy="669011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04F295" id="Group 23" o:spid="_x0000_s1026" style="position:absolute;margin-left:-54.9pt;margin-top:-72.5pt;width:611.8pt;height:857.15pt;z-index:251666432;mso-width-relative:margin;mso-height-relative:margin" coordorigin=",-63" coordsize="77699,106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">
                <v:rect id="Rectangle 15" o:spid="_x0000_s1027" style="position:absolute;width:77662;height:106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fillcolor="black [3213]" strokecolor="white [3212]" strokeweight=".5pt">
                  <v:fill opacity="7864f" color2="black [3213]" o:opacity2="4587f" rotate="t" focus="100%" type="gradient">
                    <o:fill v:ext="view" type="gradientUnscaled"/>
                  </v:fill>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fillcolor="#d8d8d8 [2732]" stroked="f" strokeweight=".5pt">
                  <v:fill opacity="26214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857,-63" to="43166,668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fillcolor="#f2f2f2 [3052]" stroked="f" strokeweight=".5pt">
                  <v:fill opacity="22282f" color2="white [3212]" o:opacity2="3932f" rotate="t" colors="0 #f2f2f2;3932f #f2f2f2" focus="100%" type="gradient">
                    <o:fill v:ext="view" type="gradientUnscaled"/>
                  </v:fill>
                </v:shape>
                <v:shape id="Triangle 16" o:spid="_x0000_s1035" type="#_x0000_t5" style="position:absolute;left:43814;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group>
            </w:pict>
          </mc:Fallback>
        </mc:AlternateContent>
      </w:r>
      <w:r>
        <w:rPr>
          <w:noProof/>
        </w:rPr>
        <w:drawing>
          <wp:anchor distT="0" distB="0" distL="114300" distR="114300" simplePos="0" relativeHeight="251657214" behindDoc="0" locked="0" layoutInCell="1" allowOverlap="1" wp14:anchorId="0BC63395" wp14:editId="0E592E5E">
            <wp:simplePos x="0" y="0"/>
            <wp:positionH relativeFrom="column">
              <wp:posOffset>-696191</wp:posOffset>
            </wp:positionH>
            <wp:positionV relativeFrom="paragraph">
              <wp:posOffset>-914400</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7">
                      <a:extLst>
                        <a:ext uri="{28A0092B-C50C-407E-A947-70E740481C1C}">
                          <a14:useLocalDpi xmlns:a14="http://schemas.microsoft.com/office/drawing/2010/main" val="0"/>
                        </a:ext>
                      </a:extLst>
                    </a:blip>
                    <a:srcRect l="15605" r="13844" b="2422"/>
                    <a:stretch>
                      <a:fillRect/>
                    </a:stretch>
                  </pic:blipFill>
                  <pic:spPr bwMode="auto">
                    <a:xfrm>
                      <a:off x="0" y="0"/>
                      <a:ext cx="7594767" cy="1089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108B" w:rsidSect="00334ADB">
      <w:footerReference w:type="even" r:id="rId8"/>
      <w:footerReference w:type="default" r:id="rId9"/>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FAFDE" w14:textId="77777777" w:rsidR="0021596B" w:rsidRDefault="0021596B" w:rsidP="00334ADB">
      <w:pPr>
        <w:spacing w:after="0" w:line="240" w:lineRule="auto"/>
      </w:pPr>
      <w:r>
        <w:separator/>
      </w:r>
    </w:p>
  </w:endnote>
  <w:endnote w:type="continuationSeparator" w:id="0">
    <w:p w14:paraId="4C88FE59" w14:textId="77777777" w:rsidR="0021596B" w:rsidRDefault="0021596B"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erriweather Light">
    <w:panose1 w:val="00000400000000000000"/>
    <w:charset w:val="4D"/>
    <w:family w:val="auto"/>
    <w:pitch w:val="variable"/>
    <w:sig w:usb0="20000207" w:usb1="00000002" w:usb2="00000000" w:usb3="00000000" w:csb0="00000197" w:csb1="00000000"/>
  </w:font>
  <w:font w:name="Merriweather ExtraBold">
    <w:altName w:val="Calibri"/>
    <w:panose1 w:val="020B0604020202020204"/>
    <w:charset w:val="00"/>
    <w:family w:val="auto"/>
    <w:pitch w:val="default"/>
  </w:font>
  <w:font w:name="Roboto">
    <w:panose1 w:val="02000000000000000000"/>
    <w:charset w:val="00"/>
    <w:family w:val="auto"/>
    <w:pitch w:val="variable"/>
    <w:sig w:usb0="E0000AFF" w:usb1="5000217F" w:usb2="00000021"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EndPr>
      <w:rPr>
        <w:rStyle w:val="PageNumber"/>
      </w:rPr>
    </w:sdtEnd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EndPr>
      <w:rPr>
        <w:rStyle w:val="PageNumber"/>
      </w:rPr>
    </w:sdtEnd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A3056" w14:textId="77777777" w:rsidR="0021596B" w:rsidRDefault="0021596B" w:rsidP="00334ADB">
      <w:pPr>
        <w:spacing w:after="0" w:line="240" w:lineRule="auto"/>
      </w:pPr>
      <w:r>
        <w:separator/>
      </w:r>
    </w:p>
  </w:footnote>
  <w:footnote w:type="continuationSeparator" w:id="0">
    <w:p w14:paraId="74831C66" w14:textId="77777777" w:rsidR="0021596B" w:rsidRDefault="0021596B" w:rsidP="00334ADB">
      <w:pPr>
        <w:spacing w:after="0" w:line="240" w:lineRule="auto"/>
      </w:pPr>
      <w:r>
        <w:continuationSeparator/>
      </w:r>
    </w:p>
  </w:footnote>
  <w:footnote w:id="1">
    <w:p w14:paraId="61EE49A4" w14:textId="22733395" w:rsidR="00110C6E" w:rsidRPr="00544CAA" w:rsidRDefault="00320DCC" w:rsidP="00544CAA">
      <w:pPr>
        <w:pStyle w:val="Footer"/>
        <w:rPr>
          <w:sz w:val="20"/>
          <w:szCs w:val="20"/>
        </w:rPr>
      </w:pPr>
      <w:r w:rsidRPr="00544CAA">
        <w:rPr>
          <w:sz w:val="20"/>
          <w:szCs w:val="20"/>
          <w:vertAlign w:val="superscript"/>
        </w:rPr>
        <w:footnoteRef/>
      </w:r>
      <w:r w:rsidRPr="00544CAA">
        <w:rPr>
          <w:sz w:val="20"/>
          <w:szCs w:val="20"/>
        </w:rPr>
        <w:t xml:space="preserve"> Joshua Lees, ‘Statutory Declaration’ (20 August 2025)</w:t>
      </w:r>
      <w:r w:rsidR="000D4A3C">
        <w:rPr>
          <w:sz w:val="20"/>
          <w:szCs w:val="20"/>
        </w:rPr>
        <w:t>.</w:t>
      </w:r>
    </w:p>
  </w:footnote>
  <w:footnote w:id="2">
    <w:p w14:paraId="08CA2971" w14:textId="388E9FEA" w:rsidR="00320DCC" w:rsidRPr="00544CAA" w:rsidRDefault="00320DCC" w:rsidP="00544CAA">
      <w:pPr>
        <w:pStyle w:val="Footer"/>
        <w:rPr>
          <w:sz w:val="20"/>
          <w:szCs w:val="20"/>
        </w:rPr>
      </w:pPr>
      <w:r w:rsidRPr="00544CAA">
        <w:rPr>
          <w:sz w:val="20"/>
          <w:szCs w:val="20"/>
          <w:vertAlign w:val="superscript"/>
        </w:rPr>
        <w:footnoteRef/>
      </w:r>
      <w:r w:rsidRPr="00544CAA">
        <w:rPr>
          <w:sz w:val="20"/>
          <w:szCs w:val="20"/>
        </w:rPr>
        <w:t xml:space="preserve"> Commissioner of Police (NSW Police Force) v Joshua Lees [2025] NSWSC 858</w:t>
      </w:r>
      <w:r w:rsidR="000D4A3C">
        <w:rPr>
          <w:sz w:val="20"/>
          <w:szCs w:val="20"/>
        </w:rPr>
        <w:t>.</w:t>
      </w:r>
    </w:p>
  </w:footnote>
  <w:footnote w:id="3">
    <w:p w14:paraId="4EA49576" w14:textId="77777777" w:rsidR="00320DCC" w:rsidRPr="00544CAA" w:rsidRDefault="00320DCC" w:rsidP="00544CAA">
      <w:pPr>
        <w:pStyle w:val="Footer"/>
        <w:rPr>
          <w:sz w:val="20"/>
          <w:szCs w:val="20"/>
        </w:rPr>
      </w:pPr>
      <w:r w:rsidRPr="00544CAA">
        <w:rPr>
          <w:sz w:val="20"/>
          <w:szCs w:val="20"/>
          <w:vertAlign w:val="superscript"/>
        </w:rPr>
        <w:footnoteRef/>
      </w:r>
      <w:r w:rsidRPr="00544CAA">
        <w:rPr>
          <w:sz w:val="20"/>
          <w:szCs w:val="20"/>
        </w:rPr>
        <w:t xml:space="preserve"> Ibid.</w:t>
      </w:r>
    </w:p>
  </w:footnote>
  <w:footnote w:id="4">
    <w:p w14:paraId="1B06BFAA" w14:textId="77777777" w:rsidR="00320DCC" w:rsidRPr="00544CAA" w:rsidRDefault="00320DCC" w:rsidP="00544CAA">
      <w:pPr>
        <w:pStyle w:val="Footer"/>
        <w:rPr>
          <w:sz w:val="20"/>
          <w:szCs w:val="20"/>
        </w:rPr>
      </w:pPr>
      <w:r w:rsidRPr="00544CAA">
        <w:rPr>
          <w:sz w:val="20"/>
          <w:szCs w:val="20"/>
          <w:vertAlign w:val="superscript"/>
        </w:rPr>
        <w:footnoteRef/>
      </w:r>
      <w:r w:rsidRPr="00544CAA">
        <w:rPr>
          <w:sz w:val="20"/>
          <w:szCs w:val="20"/>
        </w:rPr>
        <w:t xml:space="preserve"> Ibid [2].</w:t>
      </w:r>
    </w:p>
  </w:footnote>
  <w:footnote w:id="5">
    <w:p w14:paraId="6CF39088" w14:textId="77777777" w:rsidR="00320DCC" w:rsidRPr="00544CAA" w:rsidRDefault="00320DCC" w:rsidP="00544CAA">
      <w:pPr>
        <w:pStyle w:val="Footer"/>
        <w:rPr>
          <w:sz w:val="20"/>
          <w:szCs w:val="20"/>
        </w:rPr>
      </w:pPr>
      <w:r w:rsidRPr="00544CAA">
        <w:rPr>
          <w:sz w:val="20"/>
          <w:szCs w:val="20"/>
          <w:vertAlign w:val="superscript"/>
        </w:rPr>
        <w:footnoteRef/>
      </w:r>
      <w:r w:rsidRPr="00544CAA">
        <w:rPr>
          <w:sz w:val="20"/>
          <w:szCs w:val="20"/>
        </w:rPr>
        <w:t xml:space="preserve"> Ibid [19].</w:t>
      </w:r>
    </w:p>
  </w:footnote>
  <w:footnote w:id="6">
    <w:p w14:paraId="56FC9EF3" w14:textId="77777777" w:rsidR="00320DCC" w:rsidRPr="00544CAA" w:rsidRDefault="00320DCC" w:rsidP="00544CAA">
      <w:pPr>
        <w:pStyle w:val="Footer"/>
        <w:rPr>
          <w:sz w:val="20"/>
          <w:szCs w:val="20"/>
        </w:rPr>
      </w:pPr>
      <w:r w:rsidRPr="00544CAA">
        <w:rPr>
          <w:sz w:val="20"/>
          <w:szCs w:val="20"/>
          <w:vertAlign w:val="superscript"/>
        </w:rPr>
        <w:footnoteRef/>
      </w:r>
      <w:r w:rsidRPr="00544CAA">
        <w:rPr>
          <w:sz w:val="20"/>
          <w:szCs w:val="20"/>
        </w:rPr>
        <w:t xml:space="preserve"> Ibid [21].</w:t>
      </w:r>
    </w:p>
  </w:footnote>
  <w:footnote w:id="7">
    <w:p w14:paraId="346ABF8C" w14:textId="77777777" w:rsidR="00320DCC" w:rsidRPr="00544CAA" w:rsidRDefault="00320DCC" w:rsidP="00544CAA">
      <w:pPr>
        <w:pStyle w:val="Footer"/>
        <w:rPr>
          <w:sz w:val="20"/>
          <w:szCs w:val="20"/>
        </w:rPr>
      </w:pPr>
      <w:r w:rsidRPr="00544CAA">
        <w:rPr>
          <w:sz w:val="20"/>
          <w:szCs w:val="20"/>
          <w:vertAlign w:val="superscript"/>
        </w:rPr>
        <w:footnoteRef/>
      </w:r>
      <w:r w:rsidRPr="00544CAA">
        <w:rPr>
          <w:sz w:val="20"/>
          <w:szCs w:val="20"/>
        </w:rPr>
        <w:t xml:space="preserve"> Ibid [64].</w:t>
      </w:r>
    </w:p>
  </w:footnote>
  <w:footnote w:id="8">
    <w:p w14:paraId="7E432D94" w14:textId="77777777" w:rsidR="00320DCC" w:rsidRPr="00544CAA" w:rsidRDefault="00320DCC" w:rsidP="00544CAA">
      <w:pPr>
        <w:pStyle w:val="Footer"/>
        <w:rPr>
          <w:sz w:val="20"/>
          <w:szCs w:val="20"/>
        </w:rPr>
      </w:pPr>
      <w:r w:rsidRPr="00544CAA">
        <w:rPr>
          <w:sz w:val="20"/>
          <w:szCs w:val="20"/>
          <w:vertAlign w:val="superscript"/>
        </w:rPr>
        <w:footnoteRef/>
      </w:r>
      <w:r w:rsidRPr="00544CAA">
        <w:rPr>
          <w:sz w:val="20"/>
          <w:szCs w:val="20"/>
        </w:rPr>
        <w:t xml:space="preserve"> Ibid [6].</w:t>
      </w:r>
    </w:p>
  </w:footnote>
  <w:footnote w:id="9">
    <w:p w14:paraId="72389128" w14:textId="77777777" w:rsidR="00320DCC" w:rsidRPr="00544CAA" w:rsidRDefault="00320DCC" w:rsidP="00544CAA">
      <w:pPr>
        <w:pStyle w:val="Footer"/>
        <w:rPr>
          <w:sz w:val="20"/>
          <w:szCs w:val="20"/>
        </w:rPr>
      </w:pPr>
      <w:r w:rsidRPr="00544CAA">
        <w:rPr>
          <w:sz w:val="20"/>
          <w:szCs w:val="20"/>
          <w:vertAlign w:val="superscript"/>
        </w:rPr>
        <w:footnoteRef/>
      </w:r>
      <w:r w:rsidRPr="00544CAA">
        <w:rPr>
          <w:sz w:val="20"/>
          <w:szCs w:val="20"/>
        </w:rPr>
        <w:t xml:space="preserve"> Ibid [70].</w:t>
      </w:r>
    </w:p>
  </w:footnote>
  <w:footnote w:id="10">
    <w:p w14:paraId="7F259840" w14:textId="77777777" w:rsidR="00320DCC" w:rsidRDefault="00320DCC" w:rsidP="00544CAA">
      <w:pPr>
        <w:pStyle w:val="Footer"/>
      </w:pPr>
      <w:r w:rsidRPr="00544CAA">
        <w:rPr>
          <w:sz w:val="20"/>
          <w:szCs w:val="20"/>
          <w:vertAlign w:val="superscript"/>
        </w:rPr>
        <w:footnoteRef/>
      </w:r>
      <w:r w:rsidRPr="00544CAA">
        <w:rPr>
          <w:sz w:val="20"/>
          <w:szCs w:val="20"/>
        </w:rPr>
        <w:t xml:space="preserve"> Ibid [71].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04C29"/>
    <w:rsid w:val="00043DBC"/>
    <w:rsid w:val="0007301A"/>
    <w:rsid w:val="0008172E"/>
    <w:rsid w:val="000A4193"/>
    <w:rsid w:val="000A7F76"/>
    <w:rsid w:val="000B2023"/>
    <w:rsid w:val="000D128E"/>
    <w:rsid w:val="000D3208"/>
    <w:rsid w:val="000D4A3C"/>
    <w:rsid w:val="000F108B"/>
    <w:rsid w:val="00110C6E"/>
    <w:rsid w:val="00111C95"/>
    <w:rsid w:val="00117D0B"/>
    <w:rsid w:val="00134090"/>
    <w:rsid w:val="00147DC9"/>
    <w:rsid w:val="00175486"/>
    <w:rsid w:val="00187B4E"/>
    <w:rsid w:val="001A3BD0"/>
    <w:rsid w:val="001B7DFD"/>
    <w:rsid w:val="001F059D"/>
    <w:rsid w:val="001F7F8C"/>
    <w:rsid w:val="0021596B"/>
    <w:rsid w:val="00220042"/>
    <w:rsid w:val="0023078B"/>
    <w:rsid w:val="00240E95"/>
    <w:rsid w:val="00263EC8"/>
    <w:rsid w:val="00285268"/>
    <w:rsid w:val="00294CA4"/>
    <w:rsid w:val="002D3A13"/>
    <w:rsid w:val="002F23C0"/>
    <w:rsid w:val="00300E0C"/>
    <w:rsid w:val="0032017D"/>
    <w:rsid w:val="00320DCC"/>
    <w:rsid w:val="00334ADB"/>
    <w:rsid w:val="00341B1E"/>
    <w:rsid w:val="00344A17"/>
    <w:rsid w:val="00356093"/>
    <w:rsid w:val="003A02E1"/>
    <w:rsid w:val="003A1CFB"/>
    <w:rsid w:val="003B7C76"/>
    <w:rsid w:val="003C2E5F"/>
    <w:rsid w:val="003E43B4"/>
    <w:rsid w:val="003E7BC4"/>
    <w:rsid w:val="00405FCE"/>
    <w:rsid w:val="004428B7"/>
    <w:rsid w:val="00454AE5"/>
    <w:rsid w:val="0046317F"/>
    <w:rsid w:val="00464656"/>
    <w:rsid w:val="0046610A"/>
    <w:rsid w:val="00480B5D"/>
    <w:rsid w:val="00482078"/>
    <w:rsid w:val="00483774"/>
    <w:rsid w:val="00483FDC"/>
    <w:rsid w:val="004D2AC4"/>
    <w:rsid w:val="004D4240"/>
    <w:rsid w:val="004E2D72"/>
    <w:rsid w:val="004E3D64"/>
    <w:rsid w:val="004E66C5"/>
    <w:rsid w:val="004E7814"/>
    <w:rsid w:val="00531BB6"/>
    <w:rsid w:val="00544CAA"/>
    <w:rsid w:val="00553DD0"/>
    <w:rsid w:val="00564DFA"/>
    <w:rsid w:val="00571DCD"/>
    <w:rsid w:val="00580005"/>
    <w:rsid w:val="00580B86"/>
    <w:rsid w:val="0058507A"/>
    <w:rsid w:val="00596E11"/>
    <w:rsid w:val="005A6F4D"/>
    <w:rsid w:val="005D092F"/>
    <w:rsid w:val="005E1FFE"/>
    <w:rsid w:val="005E76DA"/>
    <w:rsid w:val="00601F4E"/>
    <w:rsid w:val="00602F53"/>
    <w:rsid w:val="006059CA"/>
    <w:rsid w:val="00610E85"/>
    <w:rsid w:val="006137B4"/>
    <w:rsid w:val="00617F15"/>
    <w:rsid w:val="00621706"/>
    <w:rsid w:val="00630EB4"/>
    <w:rsid w:val="00634D86"/>
    <w:rsid w:val="00691C4F"/>
    <w:rsid w:val="006B0791"/>
    <w:rsid w:val="006B7BEF"/>
    <w:rsid w:val="006C458F"/>
    <w:rsid w:val="006F60E7"/>
    <w:rsid w:val="006F651C"/>
    <w:rsid w:val="00714231"/>
    <w:rsid w:val="00727A61"/>
    <w:rsid w:val="00736735"/>
    <w:rsid w:val="0076135F"/>
    <w:rsid w:val="0076785F"/>
    <w:rsid w:val="007769FF"/>
    <w:rsid w:val="007969BD"/>
    <w:rsid w:val="007B1D20"/>
    <w:rsid w:val="007B71B0"/>
    <w:rsid w:val="007C4F96"/>
    <w:rsid w:val="007D2217"/>
    <w:rsid w:val="007F17E8"/>
    <w:rsid w:val="00806120"/>
    <w:rsid w:val="0080654C"/>
    <w:rsid w:val="008132C3"/>
    <w:rsid w:val="008132DB"/>
    <w:rsid w:val="00817751"/>
    <w:rsid w:val="008215DC"/>
    <w:rsid w:val="00840943"/>
    <w:rsid w:val="00843BE6"/>
    <w:rsid w:val="0085433B"/>
    <w:rsid w:val="00893441"/>
    <w:rsid w:val="008B7194"/>
    <w:rsid w:val="008B7902"/>
    <w:rsid w:val="008E1CC1"/>
    <w:rsid w:val="008F57CF"/>
    <w:rsid w:val="009035F2"/>
    <w:rsid w:val="009142C9"/>
    <w:rsid w:val="00924A66"/>
    <w:rsid w:val="00930211"/>
    <w:rsid w:val="0093046D"/>
    <w:rsid w:val="00944B71"/>
    <w:rsid w:val="00962EBB"/>
    <w:rsid w:val="009929D2"/>
    <w:rsid w:val="00997C34"/>
    <w:rsid w:val="009C531C"/>
    <w:rsid w:val="009D06C6"/>
    <w:rsid w:val="009E1A7D"/>
    <w:rsid w:val="00A01517"/>
    <w:rsid w:val="00A03A12"/>
    <w:rsid w:val="00A0638E"/>
    <w:rsid w:val="00A239C8"/>
    <w:rsid w:val="00A502FB"/>
    <w:rsid w:val="00A540EA"/>
    <w:rsid w:val="00A830C0"/>
    <w:rsid w:val="00A97FC9"/>
    <w:rsid w:val="00AA3760"/>
    <w:rsid w:val="00AA67FB"/>
    <w:rsid w:val="00AD2504"/>
    <w:rsid w:val="00B02D14"/>
    <w:rsid w:val="00B15DDE"/>
    <w:rsid w:val="00B33213"/>
    <w:rsid w:val="00B46C49"/>
    <w:rsid w:val="00B63729"/>
    <w:rsid w:val="00B832BA"/>
    <w:rsid w:val="00B868C3"/>
    <w:rsid w:val="00B97C02"/>
    <w:rsid w:val="00BA00F7"/>
    <w:rsid w:val="00BA6690"/>
    <w:rsid w:val="00BB66EB"/>
    <w:rsid w:val="00BC443F"/>
    <w:rsid w:val="00BC6547"/>
    <w:rsid w:val="00BD62C4"/>
    <w:rsid w:val="00BE5553"/>
    <w:rsid w:val="00C00C1E"/>
    <w:rsid w:val="00C41993"/>
    <w:rsid w:val="00C65049"/>
    <w:rsid w:val="00C8782D"/>
    <w:rsid w:val="00C939FF"/>
    <w:rsid w:val="00CB7B0F"/>
    <w:rsid w:val="00CE2659"/>
    <w:rsid w:val="00D1061C"/>
    <w:rsid w:val="00D30760"/>
    <w:rsid w:val="00D30ED1"/>
    <w:rsid w:val="00D5782C"/>
    <w:rsid w:val="00D67988"/>
    <w:rsid w:val="00D75D0F"/>
    <w:rsid w:val="00D774EF"/>
    <w:rsid w:val="00D94C07"/>
    <w:rsid w:val="00DC1F28"/>
    <w:rsid w:val="00DE365C"/>
    <w:rsid w:val="00DE7698"/>
    <w:rsid w:val="00DF314C"/>
    <w:rsid w:val="00E00CF1"/>
    <w:rsid w:val="00E030D6"/>
    <w:rsid w:val="00E160C6"/>
    <w:rsid w:val="00E179B4"/>
    <w:rsid w:val="00E35F81"/>
    <w:rsid w:val="00E45958"/>
    <w:rsid w:val="00E504D9"/>
    <w:rsid w:val="00E6116E"/>
    <w:rsid w:val="00E6236F"/>
    <w:rsid w:val="00E660C7"/>
    <w:rsid w:val="00E95486"/>
    <w:rsid w:val="00EC40F3"/>
    <w:rsid w:val="00EF7F99"/>
    <w:rsid w:val="00F05EA0"/>
    <w:rsid w:val="00F1081F"/>
    <w:rsid w:val="00F166DC"/>
    <w:rsid w:val="00F22977"/>
    <w:rsid w:val="00F23C9A"/>
    <w:rsid w:val="00F3602A"/>
    <w:rsid w:val="00F42ED6"/>
    <w:rsid w:val="00F52A96"/>
    <w:rsid w:val="00F6794E"/>
    <w:rsid w:val="00F74AD5"/>
    <w:rsid w:val="00F772BB"/>
    <w:rsid w:val="00F81255"/>
    <w:rsid w:val="00F972AD"/>
    <w:rsid w:val="00FA4E12"/>
    <w:rsid w:val="00FB2581"/>
    <w:rsid w:val="00FB5B18"/>
    <w:rsid w:val="00FD42E0"/>
    <w:rsid w:val="00FD531E"/>
    <w:rsid w:val="00FE034A"/>
    <w:rsid w:val="00FE6217"/>
    <w:rsid w:val="203F3282"/>
    <w:rsid w:val="6BF1EA69"/>
    <w:rsid w:val="71F20D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paragraph" w:customStyle="1" w:styleId="p1">
    <w:name w:val="p1"/>
    <w:basedOn w:val="Normal"/>
    <w:rsid w:val="00004C29"/>
    <w:pPr>
      <w:spacing w:after="0" w:line="240" w:lineRule="auto"/>
    </w:pPr>
    <w:rPr>
      <w:rFonts w:ascii="Helvetica" w:eastAsiaTheme="minorEastAsia" w:hAnsi="Helvetica"/>
      <w:sz w:val="18"/>
      <w:szCs w:val="18"/>
      <w:lang w:eastAsia="en-GB"/>
    </w:rPr>
  </w:style>
  <w:style w:type="character" w:customStyle="1" w:styleId="s1">
    <w:name w:val="s1"/>
    <w:basedOn w:val="DefaultParagraphFont"/>
    <w:rsid w:val="00004C29"/>
    <w:rPr>
      <w:rFonts w:ascii="Helvetica" w:hAnsi="Helvetica"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1089</Words>
  <Characters>5830</Characters>
  <Application>Microsoft Office Word</Application>
  <DocSecurity>0</DocSecurity>
  <Lines>104</Lines>
  <Paragraphs>17</Paragraphs>
  <ScaleCrop>false</ScaleCrop>
  <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Benjamin Macvean</cp:lastModifiedBy>
  <cp:revision>3</cp:revision>
  <dcterms:created xsi:type="dcterms:W3CDTF">2026-03-13T02:12:00Z</dcterms:created>
  <dcterms:modified xsi:type="dcterms:W3CDTF">2026-03-14T04:53:00Z</dcterms:modified>
</cp:coreProperties>
</file>